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C34FA7">
      <w:pPr>
        <w:keepNext w:val="0"/>
        <w:keepLines w:val="0"/>
        <w:pageBreakBefore w:val="0"/>
        <w:widowControl w:val="0"/>
        <w:kinsoku/>
        <w:wordWrap/>
        <w:bidi w:val="0"/>
        <w:adjustRightInd w:val="0"/>
        <w:snapToGrid w:val="0"/>
        <w:spacing w:line="560" w:lineRule="exact"/>
        <w:textAlignment w:val="auto"/>
        <w:rPr>
          <w:rFonts w:ascii="黑体" w:eastAsia="黑体"/>
          <w:sz w:val="28"/>
          <w:szCs w:val="28"/>
          <w:highlight w:val="none"/>
        </w:rPr>
      </w:pPr>
      <w:r>
        <w:rPr>
          <w:rFonts w:hint="eastAsia" w:ascii="黑体" w:eastAsia="黑体"/>
          <w:sz w:val="28"/>
          <w:szCs w:val="28"/>
          <w:highlight w:val="none"/>
        </w:rPr>
        <w:t>西峡县十六届人大</w:t>
      </w:r>
    </w:p>
    <w:p w14:paraId="439BAD13">
      <w:pPr>
        <w:keepNext w:val="0"/>
        <w:keepLines w:val="0"/>
        <w:pageBreakBefore w:val="0"/>
        <w:widowControl w:val="0"/>
        <w:kinsoku/>
        <w:wordWrap/>
        <w:bidi w:val="0"/>
        <w:adjustRightInd w:val="0"/>
        <w:snapToGrid w:val="0"/>
        <w:spacing w:line="560" w:lineRule="exact"/>
        <w:textAlignment w:val="auto"/>
        <w:rPr>
          <w:rFonts w:hint="default" w:ascii="黑体" w:eastAsia="黑体"/>
          <w:sz w:val="28"/>
          <w:szCs w:val="28"/>
          <w:highlight w:val="none"/>
          <w:lang w:val="en-US" w:eastAsia="zh-CN"/>
        </w:rPr>
      </w:pPr>
      <w:r>
        <w:rPr>
          <w:rFonts w:hint="eastAsia" w:ascii="黑体" w:eastAsia="黑体"/>
          <w:sz w:val="28"/>
          <w:szCs w:val="28"/>
          <w:highlight w:val="none"/>
          <w:lang w:val="en-US" w:eastAsia="zh-CN"/>
        </w:rPr>
        <w:t>七</w:t>
      </w:r>
      <w:r>
        <w:rPr>
          <w:rFonts w:hint="eastAsia" w:ascii="黑体" w:eastAsia="黑体"/>
          <w:sz w:val="28"/>
          <w:szCs w:val="28"/>
          <w:highlight w:val="none"/>
        </w:rPr>
        <w:t>次会议文件</w:t>
      </w:r>
    </w:p>
    <w:p w14:paraId="2FCF71C9">
      <w:pPr>
        <w:keepNext w:val="0"/>
        <w:keepLines w:val="0"/>
        <w:pageBreakBefore w:val="0"/>
        <w:widowControl w:val="0"/>
        <w:kinsoku/>
        <w:wordWrap/>
        <w:bidi w:val="0"/>
        <w:adjustRightInd w:val="0"/>
        <w:snapToGrid w:val="0"/>
        <w:spacing w:line="560" w:lineRule="exact"/>
        <w:ind w:firstLine="880" w:firstLineChars="200"/>
        <w:textAlignment w:val="auto"/>
        <w:rPr>
          <w:rFonts w:ascii="方正大标宋简体" w:hAnsi="黑体" w:eastAsia="方正大标宋简体" w:cs="黑体"/>
          <w:sz w:val="44"/>
        </w:rPr>
      </w:pPr>
    </w:p>
    <w:p w14:paraId="029913AF">
      <w:pPr>
        <w:keepNext w:val="0"/>
        <w:keepLines w:val="0"/>
        <w:pageBreakBefore w:val="0"/>
        <w:widowControl w:val="0"/>
        <w:kinsoku/>
        <w:wordWrap/>
        <w:bidi w:val="0"/>
        <w:adjustRightInd w:val="0"/>
        <w:snapToGrid w:val="0"/>
        <w:spacing w:line="560" w:lineRule="exact"/>
        <w:jc w:val="center"/>
        <w:textAlignment w:val="auto"/>
        <w:rPr>
          <w:rFonts w:ascii="方正大标宋简体" w:hAnsi="黑体" w:eastAsia="方正大标宋简体" w:cs="黑体"/>
          <w:sz w:val="44"/>
        </w:rPr>
      </w:pPr>
      <w:bookmarkStart w:id="0" w:name="OLE_LINK33"/>
      <w:r>
        <w:rPr>
          <w:rFonts w:hint="eastAsia" w:ascii="方正大标宋简体" w:hAnsi="黑体" w:eastAsia="方正大标宋简体" w:cs="黑体"/>
          <w:sz w:val="44"/>
        </w:rPr>
        <w:t>关于西峡县</w:t>
      </w:r>
      <w:r>
        <w:rPr>
          <w:rFonts w:ascii="方正大标宋简体" w:hAnsi="黑体" w:eastAsia="方正大标宋简体" w:cs="黑体"/>
          <w:sz w:val="44"/>
        </w:rPr>
        <w:t>202</w:t>
      </w:r>
      <w:r>
        <w:rPr>
          <w:rFonts w:hint="eastAsia" w:ascii="方正大标宋简体" w:hAnsi="黑体" w:eastAsia="方正大标宋简体" w:cs="黑体"/>
          <w:sz w:val="44"/>
          <w:lang w:val="en-US" w:eastAsia="zh-CN"/>
        </w:rPr>
        <w:t>5</w:t>
      </w:r>
      <w:r>
        <w:rPr>
          <w:rFonts w:hint="eastAsia" w:ascii="方正大标宋简体" w:hAnsi="黑体" w:eastAsia="方正大标宋简体" w:cs="黑体"/>
          <w:sz w:val="44"/>
        </w:rPr>
        <w:t>年财政预算执行情况</w:t>
      </w:r>
    </w:p>
    <w:p w14:paraId="371E25AD">
      <w:pPr>
        <w:keepNext w:val="0"/>
        <w:keepLines w:val="0"/>
        <w:pageBreakBefore w:val="0"/>
        <w:widowControl w:val="0"/>
        <w:kinsoku/>
        <w:wordWrap/>
        <w:bidi w:val="0"/>
        <w:adjustRightInd w:val="0"/>
        <w:snapToGrid w:val="0"/>
        <w:spacing w:line="560" w:lineRule="exact"/>
        <w:jc w:val="center"/>
        <w:textAlignment w:val="auto"/>
        <w:rPr>
          <w:rFonts w:ascii="方正大标宋简体" w:hAnsi="Arial Unicode MS" w:eastAsia="方正大标宋简体" w:cs="Arial Unicode MS"/>
          <w:sz w:val="44"/>
        </w:rPr>
      </w:pPr>
      <w:r>
        <w:rPr>
          <w:rFonts w:hint="eastAsia" w:ascii="方正大标宋简体" w:hAnsi="黑体" w:eastAsia="方正大标宋简体" w:cs="黑体"/>
          <w:sz w:val="44"/>
        </w:rPr>
        <w:t>和</w:t>
      </w:r>
      <w:r>
        <w:rPr>
          <w:rFonts w:ascii="方正大标宋简体" w:hAnsi="黑体" w:eastAsia="方正大标宋简体" w:cs="黑体"/>
          <w:sz w:val="44"/>
        </w:rPr>
        <w:t>202</w:t>
      </w:r>
      <w:r>
        <w:rPr>
          <w:rFonts w:hint="eastAsia" w:ascii="方正大标宋简体" w:hAnsi="黑体" w:eastAsia="方正大标宋简体" w:cs="黑体"/>
          <w:sz w:val="44"/>
          <w:lang w:val="en-US" w:eastAsia="zh-CN"/>
        </w:rPr>
        <w:t>6</w:t>
      </w:r>
      <w:r>
        <w:rPr>
          <w:rFonts w:hint="eastAsia" w:ascii="方正大标宋简体" w:hAnsi="黑体" w:eastAsia="方正大标宋简体" w:cs="黑体"/>
          <w:sz w:val="44"/>
        </w:rPr>
        <w:t>年财政预算（草案）的报告</w:t>
      </w:r>
      <w:bookmarkEnd w:id="0"/>
    </w:p>
    <w:p w14:paraId="11A84DC5">
      <w:pPr>
        <w:keepNext w:val="0"/>
        <w:keepLines w:val="0"/>
        <w:pageBreakBefore w:val="0"/>
        <w:widowControl w:val="0"/>
        <w:kinsoku/>
        <w:wordWrap/>
        <w:bidi w:val="0"/>
        <w:adjustRightInd w:val="0"/>
        <w:snapToGrid w:val="0"/>
        <w:spacing w:line="560" w:lineRule="exact"/>
        <w:ind w:firstLine="543" w:firstLineChars="200"/>
        <w:jc w:val="center"/>
        <w:textAlignment w:val="auto"/>
        <w:rPr>
          <w:rFonts w:ascii="楷体_GB2312" w:hAnsi="仿宋" w:eastAsia="楷体_GB2312"/>
          <w:b/>
          <w:spacing w:val="-12"/>
          <w:w w:val="92"/>
          <w:sz w:val="32"/>
          <w:szCs w:val="32"/>
        </w:rPr>
      </w:pPr>
    </w:p>
    <w:p w14:paraId="6AEA0DAF">
      <w:pPr>
        <w:keepNext w:val="0"/>
        <w:keepLines w:val="0"/>
        <w:pageBreakBefore w:val="0"/>
        <w:widowControl w:val="0"/>
        <w:kinsoku/>
        <w:wordWrap/>
        <w:bidi w:val="0"/>
        <w:adjustRightInd w:val="0"/>
        <w:snapToGrid w:val="0"/>
        <w:spacing w:line="560" w:lineRule="exact"/>
        <w:jc w:val="center"/>
        <w:textAlignment w:val="auto"/>
        <w:rPr>
          <w:rFonts w:ascii="楷体_GB2312" w:hAnsi="楷体_GB2312" w:eastAsia="楷体_GB2312" w:cs="楷体_GB2312"/>
          <w:snapToGrid w:val="0"/>
          <w:spacing w:val="-17"/>
          <w:w w:val="100"/>
          <w:kern w:val="0"/>
          <w:sz w:val="32"/>
          <w:szCs w:val="32"/>
          <w:highlight w:val="red"/>
        </w:rPr>
      </w:pPr>
      <w:r>
        <w:rPr>
          <w:rFonts w:hint="eastAsia" w:ascii="楷体_GB2312" w:hAnsi="楷体_GB2312" w:eastAsia="楷体_GB2312" w:cs="楷体_GB2312"/>
          <w:bCs/>
          <w:spacing w:val="-17"/>
          <w:w w:val="100"/>
          <w:sz w:val="32"/>
          <w:szCs w:val="32"/>
          <w:highlight w:val="red"/>
        </w:rPr>
        <w:t>——</w:t>
      </w:r>
      <w:r>
        <w:rPr>
          <w:rFonts w:hint="eastAsia" w:ascii="楷体_GB2312" w:hAnsi="楷体_GB2312" w:eastAsia="楷体_GB2312" w:cs="楷体_GB2312"/>
          <w:snapToGrid w:val="0"/>
          <w:spacing w:val="-17"/>
          <w:w w:val="100"/>
          <w:kern w:val="0"/>
          <w:sz w:val="32"/>
          <w:szCs w:val="32"/>
          <w:highlight w:val="red"/>
        </w:rPr>
        <w:t>202</w:t>
      </w:r>
      <w:r>
        <w:rPr>
          <w:rFonts w:hint="eastAsia" w:ascii="楷体_GB2312" w:hAnsi="楷体_GB2312" w:eastAsia="楷体_GB2312" w:cs="楷体_GB2312"/>
          <w:snapToGrid w:val="0"/>
          <w:spacing w:val="-17"/>
          <w:w w:val="100"/>
          <w:kern w:val="0"/>
          <w:sz w:val="32"/>
          <w:szCs w:val="32"/>
          <w:highlight w:val="red"/>
          <w:lang w:val="en-US" w:eastAsia="zh-CN"/>
        </w:rPr>
        <w:t>6</w:t>
      </w:r>
      <w:r>
        <w:rPr>
          <w:rFonts w:hint="eastAsia" w:ascii="楷体_GB2312" w:hAnsi="楷体_GB2312" w:eastAsia="楷体_GB2312" w:cs="楷体_GB2312"/>
          <w:snapToGrid w:val="0"/>
          <w:spacing w:val="-17"/>
          <w:w w:val="100"/>
          <w:kern w:val="0"/>
          <w:sz w:val="32"/>
          <w:szCs w:val="32"/>
          <w:highlight w:val="red"/>
        </w:rPr>
        <w:t>年</w:t>
      </w:r>
      <w:r>
        <w:rPr>
          <w:rFonts w:hint="eastAsia" w:ascii="楷体_GB2312" w:hAnsi="楷体_GB2312" w:eastAsia="楷体_GB2312" w:cs="楷体_GB2312"/>
          <w:snapToGrid w:val="0"/>
          <w:spacing w:val="-17"/>
          <w:w w:val="100"/>
          <w:kern w:val="0"/>
          <w:sz w:val="32"/>
          <w:szCs w:val="32"/>
          <w:highlight w:val="red"/>
          <w:lang w:val="en-US" w:eastAsia="zh-CN"/>
        </w:rPr>
        <w:t>**</w:t>
      </w:r>
      <w:r>
        <w:rPr>
          <w:rFonts w:hint="eastAsia" w:ascii="楷体_GB2312" w:hAnsi="楷体_GB2312" w:eastAsia="楷体_GB2312" w:cs="楷体_GB2312"/>
          <w:snapToGrid w:val="0"/>
          <w:spacing w:val="-17"/>
          <w:w w:val="100"/>
          <w:kern w:val="0"/>
          <w:sz w:val="32"/>
          <w:szCs w:val="32"/>
          <w:highlight w:val="red"/>
        </w:rPr>
        <w:t>月</w:t>
      </w:r>
      <w:r>
        <w:rPr>
          <w:rFonts w:hint="eastAsia" w:ascii="楷体_GB2312" w:hAnsi="楷体_GB2312" w:eastAsia="楷体_GB2312" w:cs="楷体_GB2312"/>
          <w:snapToGrid w:val="0"/>
          <w:spacing w:val="-17"/>
          <w:w w:val="100"/>
          <w:kern w:val="0"/>
          <w:sz w:val="32"/>
          <w:szCs w:val="32"/>
          <w:highlight w:val="red"/>
          <w:lang w:val="en-US" w:eastAsia="zh-CN"/>
        </w:rPr>
        <w:t>**</w:t>
      </w:r>
      <w:r>
        <w:rPr>
          <w:rFonts w:hint="eastAsia" w:ascii="楷体_GB2312" w:hAnsi="楷体_GB2312" w:eastAsia="楷体_GB2312" w:cs="楷体_GB2312"/>
          <w:snapToGrid w:val="0"/>
          <w:spacing w:val="-17"/>
          <w:w w:val="100"/>
          <w:kern w:val="0"/>
          <w:sz w:val="32"/>
          <w:szCs w:val="32"/>
          <w:highlight w:val="red"/>
        </w:rPr>
        <w:t>日在西峡县第十六届人民代表大会第</w:t>
      </w:r>
      <w:r>
        <w:rPr>
          <w:rFonts w:hint="eastAsia" w:ascii="楷体_GB2312" w:hAnsi="楷体_GB2312" w:eastAsia="楷体_GB2312" w:cs="楷体_GB2312"/>
          <w:snapToGrid w:val="0"/>
          <w:spacing w:val="-17"/>
          <w:w w:val="100"/>
          <w:kern w:val="0"/>
          <w:sz w:val="32"/>
          <w:szCs w:val="32"/>
          <w:highlight w:val="red"/>
          <w:lang w:val="en-US" w:eastAsia="zh-CN"/>
        </w:rPr>
        <w:t>七</w:t>
      </w:r>
      <w:r>
        <w:rPr>
          <w:rFonts w:hint="eastAsia" w:ascii="楷体_GB2312" w:hAnsi="楷体_GB2312" w:eastAsia="楷体_GB2312" w:cs="楷体_GB2312"/>
          <w:snapToGrid w:val="0"/>
          <w:spacing w:val="-17"/>
          <w:w w:val="100"/>
          <w:kern w:val="0"/>
          <w:sz w:val="32"/>
          <w:szCs w:val="32"/>
          <w:highlight w:val="red"/>
        </w:rPr>
        <w:t>次会议上</w:t>
      </w:r>
    </w:p>
    <w:p w14:paraId="71E919CF">
      <w:pPr>
        <w:keepNext w:val="0"/>
        <w:keepLines w:val="0"/>
        <w:pageBreakBefore w:val="0"/>
        <w:widowControl w:val="0"/>
        <w:kinsoku/>
        <w:wordWrap/>
        <w:bidi w:val="0"/>
        <w:adjustRightInd w:val="0"/>
        <w:snapToGrid w:val="0"/>
        <w:spacing w:line="560" w:lineRule="exact"/>
        <w:jc w:val="center"/>
        <w:textAlignment w:val="auto"/>
        <w:rPr>
          <w:rFonts w:ascii="仿宋_GB2312" w:hAnsi="仿宋" w:eastAsia="仿宋_GB2312"/>
          <w:kern w:val="0"/>
          <w:sz w:val="36"/>
          <w:szCs w:val="36"/>
        </w:rPr>
      </w:pPr>
      <w:r>
        <w:rPr>
          <w:rFonts w:hint="eastAsia" w:ascii="楷体_GB2312" w:hAnsi="楷体_GB2312" w:eastAsia="楷体_GB2312" w:cs="楷体_GB2312"/>
          <w:sz w:val="32"/>
          <w:szCs w:val="32"/>
        </w:rPr>
        <w:t>西峡县财政局局长</w:t>
      </w:r>
      <w:r>
        <w:rPr>
          <w:rFonts w:hint="eastAsia" w:ascii="楷体_GB2312" w:hAnsi="楷体_GB2312" w:eastAsia="楷体_GB2312" w:cs="楷体_GB2312"/>
          <w:sz w:val="32"/>
          <w:szCs w:val="32"/>
          <w:lang w:val="en-US" w:eastAsia="zh-CN"/>
        </w:rPr>
        <w:t xml:space="preserve">  </w:t>
      </w:r>
      <w:r>
        <w:rPr>
          <w:rFonts w:hint="eastAsia" w:ascii="黑体" w:hAnsi="黑体" w:eastAsia="黑体" w:cs="黑体"/>
          <w:sz w:val="32"/>
          <w:szCs w:val="32"/>
          <w:lang w:val="en-US" w:eastAsia="zh-CN"/>
        </w:rPr>
        <w:t>戴中伟</w:t>
      </w:r>
    </w:p>
    <w:p w14:paraId="789E8F23">
      <w:pPr>
        <w:keepNext w:val="0"/>
        <w:keepLines w:val="0"/>
        <w:pageBreakBefore w:val="0"/>
        <w:widowControl w:val="0"/>
        <w:kinsoku/>
        <w:wordWrap/>
        <w:overflowPunct w:val="0"/>
        <w:topLinePunct w:val="0"/>
        <w:autoSpaceDE w:val="0"/>
        <w:autoSpaceDN w:val="0"/>
        <w:bidi w:val="0"/>
        <w:adjustRightInd w:val="0"/>
        <w:snapToGrid w:val="0"/>
        <w:spacing w:line="560" w:lineRule="exact"/>
        <w:textAlignment w:val="auto"/>
        <w:rPr>
          <w:rFonts w:ascii="仿宋_GB2312" w:hAnsi="仿宋" w:eastAsia="仿宋_GB2312"/>
          <w:kern w:val="0"/>
          <w:sz w:val="32"/>
          <w:szCs w:val="32"/>
        </w:rPr>
      </w:pPr>
      <w:r>
        <w:rPr>
          <w:rFonts w:hint="eastAsia" w:ascii="仿宋_GB2312" w:hAnsi="仿宋" w:eastAsia="仿宋_GB2312"/>
          <w:kern w:val="0"/>
          <w:sz w:val="32"/>
          <w:szCs w:val="32"/>
        </w:rPr>
        <w:t>各位代表：</w:t>
      </w:r>
    </w:p>
    <w:p w14:paraId="4B7128C5">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0" w:firstLineChars="200"/>
        <w:textAlignment w:val="auto"/>
        <w:rPr>
          <w:rFonts w:ascii="仿宋_GB2312" w:hAnsi="仿宋" w:eastAsia="仿宋_GB2312"/>
          <w:kern w:val="0"/>
          <w:sz w:val="32"/>
          <w:szCs w:val="32"/>
        </w:rPr>
      </w:pPr>
      <w:r>
        <w:rPr>
          <w:rFonts w:hint="eastAsia" w:ascii="仿宋_GB2312" w:hAnsi="仿宋" w:eastAsia="仿宋_GB2312"/>
          <w:kern w:val="0"/>
          <w:sz w:val="32"/>
          <w:szCs w:val="32"/>
        </w:rPr>
        <w:t>我受县人民政府委托，向大会报告西峡县</w:t>
      </w:r>
      <w:r>
        <w:rPr>
          <w:rFonts w:ascii="仿宋_GB2312" w:hAnsi="仿宋" w:eastAsia="仿宋_GB2312"/>
          <w:kern w:val="0"/>
          <w:sz w:val="32"/>
          <w:szCs w:val="32"/>
        </w:rPr>
        <w:t>202</w:t>
      </w:r>
      <w:r>
        <w:rPr>
          <w:rFonts w:hint="eastAsia" w:ascii="仿宋_GB2312" w:hAnsi="仿宋" w:eastAsia="仿宋_GB2312"/>
          <w:kern w:val="0"/>
          <w:sz w:val="32"/>
          <w:szCs w:val="32"/>
          <w:lang w:val="en-US" w:eastAsia="zh-CN"/>
        </w:rPr>
        <w:t>5</w:t>
      </w:r>
      <w:r>
        <w:rPr>
          <w:rFonts w:hint="eastAsia" w:ascii="仿宋_GB2312" w:hAnsi="仿宋" w:eastAsia="仿宋_GB2312"/>
          <w:kern w:val="0"/>
          <w:sz w:val="32"/>
          <w:szCs w:val="32"/>
        </w:rPr>
        <w:t>年财政预算执行情况和</w:t>
      </w:r>
      <w:r>
        <w:rPr>
          <w:rFonts w:ascii="仿宋_GB2312" w:hAnsi="仿宋" w:eastAsia="仿宋_GB2312"/>
          <w:kern w:val="0"/>
          <w:sz w:val="32"/>
          <w:szCs w:val="32"/>
        </w:rPr>
        <w:t>202</w:t>
      </w:r>
      <w:r>
        <w:rPr>
          <w:rFonts w:hint="eastAsia" w:ascii="仿宋_GB2312" w:hAnsi="仿宋" w:eastAsia="仿宋_GB2312"/>
          <w:kern w:val="0"/>
          <w:sz w:val="32"/>
          <w:szCs w:val="32"/>
          <w:lang w:val="en-US" w:eastAsia="zh-CN"/>
        </w:rPr>
        <w:t>6</w:t>
      </w:r>
      <w:r>
        <w:rPr>
          <w:rFonts w:hint="eastAsia" w:ascii="仿宋_GB2312" w:hAnsi="仿宋" w:eastAsia="仿宋_GB2312"/>
          <w:kern w:val="0"/>
          <w:sz w:val="32"/>
          <w:szCs w:val="32"/>
        </w:rPr>
        <w:t>年财政预算（草案），请予审议，</w:t>
      </w:r>
      <w:r>
        <w:rPr>
          <w:rFonts w:hint="eastAsia" w:ascii="仿宋_GB2312" w:hAnsi="仿宋_GB2312" w:eastAsia="仿宋_GB2312" w:cs="仿宋_GB2312"/>
          <w:kern w:val="0"/>
          <w:sz w:val="32"/>
          <w:szCs w:val="32"/>
        </w:rPr>
        <w:t>并请各位政协委员和其他列席人员提出意见。</w:t>
      </w:r>
    </w:p>
    <w:p w14:paraId="50BBF87A">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0" w:firstLineChars="200"/>
        <w:textAlignment w:val="auto"/>
        <w:rPr>
          <w:rFonts w:ascii="黑体" w:hAnsi="黑体" w:eastAsia="黑体"/>
          <w:kern w:val="0"/>
          <w:sz w:val="32"/>
          <w:szCs w:val="32"/>
        </w:rPr>
      </w:pPr>
      <w:r>
        <w:rPr>
          <w:rFonts w:hint="eastAsia" w:ascii="黑体" w:hAnsi="黑体" w:eastAsia="黑体"/>
          <w:kern w:val="0"/>
          <w:sz w:val="32"/>
          <w:szCs w:val="32"/>
        </w:rPr>
        <w:t>一、</w:t>
      </w:r>
      <w:r>
        <w:rPr>
          <w:rFonts w:ascii="黑体" w:hAnsi="黑体" w:eastAsia="黑体"/>
          <w:kern w:val="0"/>
          <w:sz w:val="32"/>
          <w:szCs w:val="32"/>
        </w:rPr>
        <w:t>202</w:t>
      </w:r>
      <w:r>
        <w:rPr>
          <w:rFonts w:hint="eastAsia" w:ascii="黑体" w:hAnsi="黑体" w:eastAsia="黑体"/>
          <w:kern w:val="0"/>
          <w:sz w:val="32"/>
          <w:szCs w:val="32"/>
          <w:lang w:val="en-US" w:eastAsia="zh-CN"/>
        </w:rPr>
        <w:t>5</w:t>
      </w:r>
      <w:r>
        <w:rPr>
          <w:rFonts w:hint="eastAsia" w:ascii="黑体" w:hAnsi="黑体" w:eastAsia="黑体"/>
          <w:kern w:val="0"/>
          <w:sz w:val="32"/>
          <w:szCs w:val="32"/>
        </w:rPr>
        <w:t>年预算执行情况</w:t>
      </w:r>
    </w:p>
    <w:p w14:paraId="5CDCE077">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0" w:firstLineChars="200"/>
        <w:textAlignment w:val="auto"/>
        <w:rPr>
          <w:rFonts w:ascii="仿宋_GB2312" w:hAnsi="仿宋" w:eastAsia="仿宋_GB2312"/>
          <w:kern w:val="0"/>
          <w:sz w:val="32"/>
          <w:szCs w:val="32"/>
        </w:rPr>
      </w:pPr>
      <w:r>
        <w:rPr>
          <w:rFonts w:hint="eastAsia" w:ascii="仿宋_GB2312" w:hAnsi="仿宋" w:eastAsia="仿宋_GB2312"/>
          <w:kern w:val="0"/>
          <w:sz w:val="32"/>
          <w:szCs w:val="32"/>
        </w:rPr>
        <w:t>202</w:t>
      </w:r>
      <w:r>
        <w:rPr>
          <w:rFonts w:hint="eastAsia" w:ascii="仿宋_GB2312" w:hAnsi="仿宋" w:eastAsia="仿宋_GB2312"/>
          <w:kern w:val="0"/>
          <w:sz w:val="32"/>
          <w:szCs w:val="32"/>
          <w:lang w:val="en-US" w:eastAsia="zh-CN"/>
        </w:rPr>
        <w:t>5</w:t>
      </w:r>
      <w:r>
        <w:rPr>
          <w:rFonts w:hint="eastAsia" w:ascii="仿宋_GB2312" w:hAnsi="仿宋" w:eastAsia="仿宋_GB2312"/>
          <w:kern w:val="0"/>
          <w:sz w:val="32"/>
          <w:szCs w:val="32"/>
        </w:rPr>
        <w:t>年，面对复杂多变的外部环境和艰巨繁重的改革发展稳定任务，在县委的坚强领导和县人大、县政协的监督指导下，县政府团结带领全县人民，坚持以习近平新时代中国特色社会主义思想为指导，紧扣“民富县强、幸福西峡”工作主线，更好统筹发展和安全，实施更加积极的财政政策，强化财政资源和预算统</w:t>
      </w:r>
      <w:r>
        <w:rPr>
          <w:rFonts w:hint="eastAsia" w:ascii="仿宋_GB2312" w:hAnsi="仿宋" w:eastAsia="仿宋_GB2312"/>
          <w:color w:val="auto"/>
          <w:kern w:val="0"/>
          <w:sz w:val="32"/>
          <w:szCs w:val="32"/>
        </w:rPr>
        <w:t>筹，</w:t>
      </w:r>
      <w:r>
        <w:rPr>
          <w:rFonts w:hint="eastAsia" w:ascii="仿宋_GB2312" w:hAnsi="仿宋" w:eastAsia="仿宋_GB2312"/>
          <w:color w:val="auto"/>
          <w:kern w:val="0"/>
          <w:sz w:val="32"/>
          <w:szCs w:val="32"/>
          <w:lang w:val="en-US" w:eastAsia="zh-CN"/>
        </w:rPr>
        <w:t>压实提升财政收入质效，</w:t>
      </w:r>
      <w:r>
        <w:rPr>
          <w:rFonts w:hint="eastAsia" w:ascii="仿宋_GB2312" w:hAnsi="仿宋" w:eastAsia="仿宋_GB2312"/>
          <w:color w:val="auto"/>
          <w:kern w:val="0"/>
          <w:sz w:val="32"/>
          <w:szCs w:val="32"/>
        </w:rPr>
        <w:t>加</w:t>
      </w:r>
      <w:r>
        <w:rPr>
          <w:rFonts w:hint="eastAsia" w:ascii="仿宋_GB2312" w:hAnsi="仿宋" w:eastAsia="仿宋_GB2312"/>
          <w:kern w:val="0"/>
          <w:sz w:val="32"/>
          <w:szCs w:val="32"/>
        </w:rPr>
        <w:t>大财政支出强度，优化财政支出结构，加强重点领域保障，</w:t>
      </w:r>
      <w:r>
        <w:rPr>
          <w:rFonts w:hint="eastAsia" w:ascii="仿宋_GB2312" w:hAnsi="仿宋_GB2312" w:eastAsia="仿宋_GB2312" w:cs="仿宋_GB2312"/>
          <w:kern w:val="0"/>
          <w:sz w:val="32"/>
          <w:szCs w:val="32"/>
        </w:rPr>
        <w:t>全力以赴、铆足干劲，</w:t>
      </w:r>
      <w:r>
        <w:rPr>
          <w:rFonts w:hint="eastAsia" w:ascii="仿宋_GB2312" w:hAnsi="仿宋" w:eastAsia="仿宋_GB2312"/>
          <w:kern w:val="0"/>
          <w:sz w:val="32"/>
          <w:szCs w:val="32"/>
        </w:rPr>
        <w:t>经济社会发展稳进提质。在此基础上，全县财政预算执行情况总体平稳。</w:t>
      </w:r>
    </w:p>
    <w:p w14:paraId="01CB7EC6">
      <w:pPr>
        <w:keepNext w:val="0"/>
        <w:keepLines w:val="0"/>
        <w:pageBreakBefore w:val="0"/>
        <w:widowControl w:val="0"/>
        <w:kinsoku/>
        <w:wordWrap/>
        <w:overflowPunct w:val="0"/>
        <w:topLinePunct w:val="0"/>
        <w:bidi w:val="0"/>
        <w:adjustRightInd w:val="0"/>
        <w:snapToGrid w:val="0"/>
        <w:spacing w:line="560" w:lineRule="exact"/>
        <w:ind w:firstLine="643" w:firstLineChars="200"/>
        <w:textAlignment w:val="auto"/>
        <w:rPr>
          <w:rFonts w:ascii="楷体_GB2312" w:hAnsi="仿宋" w:eastAsia="楷体_GB2312"/>
          <w:b/>
          <w:kern w:val="0"/>
          <w:sz w:val="32"/>
          <w:szCs w:val="32"/>
        </w:rPr>
      </w:pPr>
      <w:r>
        <w:rPr>
          <w:rFonts w:hint="eastAsia" w:ascii="楷体_GB2312" w:hAnsi="仿宋" w:eastAsia="楷体_GB2312"/>
          <w:b/>
          <w:kern w:val="0"/>
          <w:sz w:val="32"/>
          <w:szCs w:val="32"/>
        </w:rPr>
        <w:t>（一）</w:t>
      </w:r>
      <w:r>
        <w:rPr>
          <w:rFonts w:ascii="楷体_GB2312" w:hAnsi="仿宋" w:eastAsia="楷体_GB2312"/>
          <w:b/>
          <w:kern w:val="0"/>
          <w:sz w:val="32"/>
          <w:szCs w:val="32"/>
        </w:rPr>
        <w:t>202</w:t>
      </w:r>
      <w:r>
        <w:rPr>
          <w:rFonts w:hint="eastAsia" w:ascii="楷体_GB2312" w:hAnsi="仿宋" w:eastAsia="楷体_GB2312"/>
          <w:b/>
          <w:kern w:val="0"/>
          <w:sz w:val="32"/>
          <w:szCs w:val="32"/>
          <w:lang w:val="en-US" w:eastAsia="zh-CN"/>
        </w:rPr>
        <w:t>5</w:t>
      </w:r>
      <w:r>
        <w:rPr>
          <w:rFonts w:hint="eastAsia" w:ascii="楷体_GB2312" w:hAnsi="仿宋" w:eastAsia="楷体_GB2312"/>
          <w:b/>
          <w:kern w:val="0"/>
          <w:sz w:val="32"/>
          <w:szCs w:val="32"/>
        </w:rPr>
        <w:t>年预算收支情况</w:t>
      </w:r>
    </w:p>
    <w:p w14:paraId="580D9974">
      <w:pPr>
        <w:keepNext w:val="0"/>
        <w:keepLines w:val="0"/>
        <w:pageBreakBefore w:val="0"/>
        <w:widowControl w:val="0"/>
        <w:kinsoku/>
        <w:wordWrap/>
        <w:overflowPunct w:val="0"/>
        <w:topLinePunct w:val="0"/>
        <w:bidi w:val="0"/>
        <w:adjustRightInd w:val="0"/>
        <w:snapToGrid w:val="0"/>
        <w:spacing w:line="560" w:lineRule="exact"/>
        <w:ind w:firstLine="643" w:firstLineChars="200"/>
        <w:textAlignment w:val="auto"/>
        <w:rPr>
          <w:rFonts w:hint="eastAsia" w:ascii="仿宋_GB2312" w:hAnsi="仿宋" w:eastAsia="仿宋_GB2312"/>
          <w:b/>
          <w:sz w:val="32"/>
          <w:szCs w:val="32"/>
        </w:rPr>
      </w:pPr>
      <w:r>
        <w:rPr>
          <w:rFonts w:ascii="仿宋_GB2312" w:hAnsi="仿宋" w:eastAsia="仿宋_GB2312" w:cs="宋体"/>
          <w:b/>
          <w:snapToGrid w:val="0"/>
          <w:kern w:val="0"/>
          <w:sz w:val="32"/>
          <w:szCs w:val="32"/>
        </w:rPr>
        <w:t>1.</w:t>
      </w:r>
      <w:r>
        <w:rPr>
          <w:rFonts w:hint="eastAsia" w:ascii="仿宋_GB2312" w:hAnsi="仿宋" w:eastAsia="仿宋_GB2312" w:cs="宋体"/>
          <w:b/>
          <w:snapToGrid w:val="0"/>
          <w:kern w:val="0"/>
          <w:sz w:val="32"/>
          <w:szCs w:val="32"/>
        </w:rPr>
        <w:t>一般公共预算</w:t>
      </w:r>
    </w:p>
    <w:p w14:paraId="116BEFB2">
      <w:pPr>
        <w:pStyle w:val="6"/>
        <w:keepNext w:val="0"/>
        <w:keepLines w:val="0"/>
        <w:pageBreakBefore w:val="0"/>
        <w:widowControl w:val="0"/>
        <w:kinsoku/>
        <w:wordWrap/>
        <w:overflowPunct w:val="0"/>
        <w:topLinePunct w:val="0"/>
        <w:bidi w:val="0"/>
        <w:adjustRightInd w:val="0"/>
        <w:snapToGrid w:val="0"/>
        <w:spacing w:line="560" w:lineRule="exact"/>
        <w:ind w:firstLine="643"/>
        <w:textAlignment w:val="auto"/>
        <w:rPr>
          <w:rFonts w:hint="eastAsia" w:ascii="仿宋_GB2312" w:hAnsi="仿宋" w:eastAsia="仿宋_GB2312"/>
          <w:b/>
          <w:bCs w:val="0"/>
          <w:sz w:val="32"/>
          <w:szCs w:val="32"/>
          <w:highlight w:val="none"/>
          <w:u w:val="none"/>
        </w:rPr>
      </w:pPr>
      <w:r>
        <w:rPr>
          <w:rFonts w:hint="eastAsia" w:ascii="仿宋_GB2312" w:hAnsi="仿宋" w:eastAsia="仿宋_GB2312"/>
          <w:b/>
          <w:sz w:val="32"/>
          <w:szCs w:val="32"/>
        </w:rPr>
        <w:t>收入方面</w:t>
      </w:r>
      <w:r>
        <w:rPr>
          <w:rFonts w:hint="eastAsia" w:ascii="仿宋_GB2312" w:hAnsi="仿宋" w:eastAsia="仿宋_GB2312"/>
          <w:b/>
          <w:sz w:val="32"/>
          <w:szCs w:val="32"/>
          <w:lang w:val="en-US" w:eastAsia="zh-CN"/>
        </w:rPr>
        <w:t xml:space="preserve"> </w:t>
      </w:r>
      <w:r>
        <w:rPr>
          <w:rFonts w:hint="eastAsia" w:ascii="仿宋_GB2312" w:hAnsi="仿宋" w:eastAsia="仿宋_GB2312"/>
          <w:bCs/>
          <w:sz w:val="32"/>
          <w:szCs w:val="32"/>
          <w:highlight w:val="none"/>
        </w:rPr>
        <w:t>县十六届人大常委会第二十</w:t>
      </w:r>
      <w:r>
        <w:rPr>
          <w:rFonts w:hint="eastAsia" w:ascii="仿宋_GB2312" w:hAnsi="仿宋" w:eastAsia="仿宋_GB2312"/>
          <w:bCs/>
          <w:sz w:val="32"/>
          <w:szCs w:val="32"/>
          <w:highlight w:val="none"/>
          <w:lang w:eastAsia="zh-CN"/>
        </w:rPr>
        <w:t>六</w:t>
      </w:r>
      <w:r>
        <w:rPr>
          <w:rFonts w:hint="eastAsia" w:ascii="仿宋_GB2312" w:hAnsi="仿宋" w:eastAsia="仿宋_GB2312"/>
          <w:bCs/>
          <w:sz w:val="32"/>
          <w:szCs w:val="32"/>
          <w:highlight w:val="none"/>
        </w:rPr>
        <w:t>次会议确定2025年一般公共预算收入</w:t>
      </w:r>
      <w:r>
        <w:rPr>
          <w:rFonts w:hint="eastAsia" w:ascii="仿宋_GB2312" w:hAnsi="仿宋" w:eastAsia="仿宋_GB2312"/>
          <w:bCs/>
          <w:sz w:val="32"/>
          <w:szCs w:val="32"/>
          <w:highlight w:val="none"/>
          <w:lang w:eastAsia="zh-CN"/>
        </w:rPr>
        <w:t>调整为</w:t>
      </w:r>
      <w:r>
        <w:rPr>
          <w:rFonts w:hint="eastAsia" w:ascii="仿宋_GB2312" w:hAnsi="仿宋" w:eastAsia="仿宋_GB2312"/>
          <w:bCs/>
          <w:sz w:val="32"/>
          <w:szCs w:val="32"/>
          <w:highlight w:val="none"/>
        </w:rPr>
        <w:t>189000万元，</w:t>
      </w:r>
      <w:r>
        <w:rPr>
          <w:rFonts w:hint="eastAsia" w:ascii="仿宋_GB2312" w:hAnsi="仿宋" w:eastAsia="仿宋_GB2312"/>
          <w:bCs/>
          <w:sz w:val="32"/>
          <w:szCs w:val="32"/>
          <w:highlight w:val="none"/>
          <w:lang w:eastAsia="zh-CN"/>
        </w:rPr>
        <w:t>具体为税收收入</w:t>
      </w:r>
      <w:r>
        <w:rPr>
          <w:rFonts w:hint="eastAsia" w:ascii="仿宋_GB2312" w:hAnsi="仿宋" w:eastAsia="仿宋_GB2312"/>
          <w:bCs/>
          <w:sz w:val="32"/>
          <w:szCs w:val="32"/>
          <w:highlight w:val="none"/>
          <w:lang w:val="en-US" w:eastAsia="zh-CN"/>
        </w:rPr>
        <w:t>调整为143275万元，非税收入调整为45725万元。全年</w:t>
      </w:r>
      <w:r>
        <w:rPr>
          <w:rFonts w:hint="eastAsia" w:ascii="仿宋_GB2312" w:hAnsi="仿宋" w:eastAsia="仿宋_GB2312"/>
          <w:bCs/>
          <w:sz w:val="32"/>
          <w:szCs w:val="32"/>
          <w:highlight w:val="none"/>
        </w:rPr>
        <w:t>实际</w:t>
      </w:r>
      <w:r>
        <w:rPr>
          <w:rFonts w:hint="eastAsia" w:ascii="仿宋_GB2312" w:hAnsi="仿宋" w:eastAsia="仿宋_GB2312"/>
          <w:bCs/>
          <w:sz w:val="32"/>
          <w:szCs w:val="32"/>
          <w:highlight w:val="none"/>
          <w:lang w:eastAsia="zh-CN"/>
        </w:rPr>
        <w:t>收入</w:t>
      </w:r>
      <w:r>
        <w:rPr>
          <w:rFonts w:hint="eastAsia" w:ascii="仿宋_GB2312" w:hAnsi="仿宋" w:eastAsia="仿宋_GB2312"/>
          <w:bCs/>
          <w:sz w:val="32"/>
          <w:szCs w:val="32"/>
          <w:highlight w:val="none"/>
        </w:rPr>
        <w:t>完成189117万元，比上年（同口径，下同）增长3.2%。税收收入完成144236万元，下降4.9%。其中：增值税完成7752</w:t>
      </w:r>
      <w:r>
        <w:rPr>
          <w:rFonts w:hint="eastAsia" w:ascii="仿宋_GB2312" w:hAnsi="仿宋" w:eastAsia="仿宋_GB2312"/>
          <w:bCs/>
          <w:sz w:val="32"/>
          <w:szCs w:val="32"/>
          <w:highlight w:val="none"/>
          <w:lang w:val="en-US" w:eastAsia="zh-CN"/>
        </w:rPr>
        <w:t>5</w:t>
      </w:r>
      <w:r>
        <w:rPr>
          <w:rFonts w:hint="eastAsia" w:ascii="仿宋_GB2312" w:hAnsi="仿宋" w:eastAsia="仿宋_GB2312"/>
          <w:bCs/>
          <w:sz w:val="32"/>
          <w:szCs w:val="32"/>
          <w:highlight w:val="none"/>
        </w:rPr>
        <w:t>万元，下降20.9%</w:t>
      </w:r>
      <w:r>
        <w:rPr>
          <w:rFonts w:hint="eastAsia" w:ascii="仿宋_GB2312" w:hAnsi="仿宋" w:eastAsia="仿宋_GB2312"/>
          <w:bCs/>
          <w:sz w:val="32"/>
          <w:szCs w:val="32"/>
          <w:highlight w:val="none"/>
          <w:lang w:val="en-US" w:eastAsia="zh-CN"/>
        </w:rPr>
        <w:t>(2025年企业加大固定资产投入规模，进项税额增加，增值税减少）</w:t>
      </w:r>
      <w:r>
        <w:rPr>
          <w:rFonts w:hint="eastAsia" w:ascii="仿宋_GB2312" w:hAnsi="仿宋" w:eastAsia="仿宋_GB2312"/>
          <w:bCs/>
          <w:sz w:val="32"/>
          <w:szCs w:val="32"/>
          <w:highlight w:val="none"/>
        </w:rPr>
        <w:t>；企业所得税完成1146</w:t>
      </w:r>
      <w:r>
        <w:rPr>
          <w:rFonts w:hint="eastAsia" w:ascii="仿宋_GB2312" w:hAnsi="仿宋" w:eastAsia="仿宋_GB2312"/>
          <w:bCs/>
          <w:sz w:val="32"/>
          <w:szCs w:val="32"/>
          <w:highlight w:val="none"/>
          <w:lang w:val="en-US" w:eastAsia="zh-CN"/>
        </w:rPr>
        <w:t>0</w:t>
      </w:r>
      <w:r>
        <w:rPr>
          <w:rFonts w:hint="eastAsia" w:ascii="仿宋_GB2312" w:hAnsi="仿宋" w:eastAsia="仿宋_GB2312"/>
          <w:bCs/>
          <w:sz w:val="32"/>
          <w:szCs w:val="32"/>
          <w:highlight w:val="none"/>
        </w:rPr>
        <w:t>万元，增长7.4%；个人所得税完成7759万元，增长77.2%</w:t>
      </w:r>
      <w:r>
        <w:rPr>
          <w:rFonts w:hint="eastAsia" w:ascii="仿宋_GB2312" w:hAnsi="仿宋" w:eastAsia="仿宋_GB2312"/>
          <w:bCs/>
          <w:sz w:val="32"/>
          <w:szCs w:val="32"/>
          <w:highlight w:val="none"/>
          <w:lang w:eastAsia="zh-CN"/>
        </w:rPr>
        <w:t>（其中一次性因素是宛西股权转让缴纳个人所得税</w:t>
      </w:r>
      <w:r>
        <w:rPr>
          <w:rFonts w:hint="eastAsia" w:ascii="仿宋_GB2312" w:hAnsi="仿宋" w:eastAsia="仿宋_GB2312"/>
          <w:bCs/>
          <w:sz w:val="32"/>
          <w:szCs w:val="32"/>
          <w:highlight w:val="none"/>
          <w:lang w:val="en-US" w:eastAsia="zh-CN"/>
        </w:rPr>
        <w:t>3200万元</w:t>
      </w:r>
      <w:r>
        <w:rPr>
          <w:rFonts w:hint="eastAsia" w:ascii="仿宋_GB2312" w:hAnsi="仿宋" w:eastAsia="仿宋_GB2312"/>
          <w:bCs/>
          <w:sz w:val="32"/>
          <w:szCs w:val="32"/>
          <w:highlight w:val="none"/>
          <w:lang w:eastAsia="zh-CN"/>
        </w:rPr>
        <w:t>）</w:t>
      </w:r>
      <w:r>
        <w:rPr>
          <w:rFonts w:hint="eastAsia" w:ascii="仿宋_GB2312" w:hAnsi="仿宋" w:eastAsia="仿宋_GB2312"/>
          <w:bCs/>
          <w:sz w:val="32"/>
          <w:szCs w:val="32"/>
          <w:highlight w:val="none"/>
        </w:rPr>
        <w:t>；城市维护建设税完成697</w:t>
      </w:r>
      <w:r>
        <w:rPr>
          <w:rFonts w:hint="eastAsia" w:ascii="仿宋_GB2312" w:hAnsi="仿宋" w:eastAsia="仿宋_GB2312"/>
          <w:bCs/>
          <w:sz w:val="32"/>
          <w:szCs w:val="32"/>
          <w:highlight w:val="none"/>
          <w:lang w:val="en-US" w:eastAsia="zh-CN"/>
        </w:rPr>
        <w:t>7</w:t>
      </w:r>
      <w:r>
        <w:rPr>
          <w:rFonts w:hint="eastAsia" w:ascii="仿宋_GB2312" w:hAnsi="仿宋" w:eastAsia="仿宋_GB2312"/>
          <w:bCs/>
          <w:sz w:val="32"/>
          <w:szCs w:val="32"/>
          <w:highlight w:val="none"/>
        </w:rPr>
        <w:t>万元，下降11.2%；房产税完成4615万元，增长2.8%；印花税完成438</w:t>
      </w:r>
      <w:r>
        <w:rPr>
          <w:rFonts w:hint="eastAsia" w:ascii="仿宋_GB2312" w:hAnsi="仿宋" w:eastAsia="仿宋_GB2312"/>
          <w:bCs/>
          <w:sz w:val="32"/>
          <w:szCs w:val="32"/>
          <w:highlight w:val="none"/>
          <w:lang w:val="en-US" w:eastAsia="zh-CN"/>
        </w:rPr>
        <w:t>3</w:t>
      </w:r>
      <w:r>
        <w:rPr>
          <w:rFonts w:hint="eastAsia" w:ascii="仿宋_GB2312" w:hAnsi="仿宋" w:eastAsia="仿宋_GB2312"/>
          <w:bCs/>
          <w:sz w:val="32"/>
          <w:szCs w:val="32"/>
          <w:highlight w:val="none"/>
        </w:rPr>
        <w:t>万元，增长24.5%</w:t>
      </w:r>
      <w:r>
        <w:rPr>
          <w:rFonts w:hint="eastAsia" w:ascii="仿宋_GB2312" w:hAnsi="仿宋" w:eastAsia="仿宋_GB2312"/>
          <w:bCs/>
          <w:sz w:val="32"/>
          <w:szCs w:val="32"/>
          <w:highlight w:val="none"/>
          <w:lang w:eastAsia="zh-CN"/>
        </w:rPr>
        <w:t>（宛西股权转让成交金额较大导致印花税增加）</w:t>
      </w:r>
      <w:r>
        <w:rPr>
          <w:rFonts w:hint="eastAsia" w:ascii="仿宋_GB2312" w:hAnsi="仿宋" w:eastAsia="仿宋_GB2312"/>
          <w:bCs/>
          <w:sz w:val="32"/>
          <w:szCs w:val="32"/>
          <w:highlight w:val="none"/>
        </w:rPr>
        <w:t>；城镇土地使用税完成7077万元，增长12.4%；土地增值税完成1560万元，增长143.</w:t>
      </w:r>
      <w:r>
        <w:rPr>
          <w:rFonts w:hint="eastAsia" w:ascii="仿宋_GB2312" w:hAnsi="仿宋" w:eastAsia="仿宋_GB2312"/>
          <w:bCs/>
          <w:sz w:val="32"/>
          <w:szCs w:val="32"/>
          <w:highlight w:val="none"/>
          <w:u w:val="none"/>
        </w:rPr>
        <w:t>4%</w:t>
      </w:r>
      <w:r>
        <w:rPr>
          <w:rFonts w:hint="eastAsia" w:ascii="仿宋_GB2312" w:hAnsi="仿宋" w:eastAsia="仿宋_GB2312"/>
          <w:bCs/>
          <w:sz w:val="32"/>
          <w:szCs w:val="32"/>
          <w:highlight w:val="none"/>
          <w:u w:val="none"/>
          <w:lang w:eastAsia="zh-CN"/>
        </w:rPr>
        <w:t>（其中一次性因素是西峡县白羽商业广场元汇置业</w:t>
      </w:r>
      <w:r>
        <w:rPr>
          <w:rFonts w:hint="eastAsia" w:ascii="仿宋_GB2312" w:hAnsi="仿宋" w:eastAsia="仿宋_GB2312"/>
          <w:bCs/>
          <w:sz w:val="32"/>
          <w:szCs w:val="32"/>
          <w:highlight w:val="none"/>
          <w:u w:val="none"/>
          <w:lang w:val="en-US" w:eastAsia="zh-CN"/>
        </w:rPr>
        <w:t>365万元、成飞置业470万元、太平镇松泉山庄天合伟业159万元</w:t>
      </w:r>
      <w:r>
        <w:rPr>
          <w:rFonts w:hint="eastAsia" w:ascii="仿宋_GB2312" w:hAnsi="仿宋" w:eastAsia="仿宋_GB2312"/>
          <w:bCs/>
          <w:sz w:val="32"/>
          <w:szCs w:val="32"/>
          <w:highlight w:val="none"/>
          <w:u w:val="none"/>
          <w:lang w:eastAsia="zh-CN"/>
        </w:rPr>
        <w:t>）</w:t>
      </w:r>
      <w:r>
        <w:rPr>
          <w:rFonts w:hint="eastAsia" w:ascii="仿宋_GB2312" w:hAnsi="仿宋" w:eastAsia="仿宋_GB2312"/>
          <w:bCs/>
          <w:sz w:val="32"/>
          <w:szCs w:val="32"/>
          <w:highlight w:val="none"/>
          <w:u w:val="none"/>
        </w:rPr>
        <w:t>；环境保护税完成</w:t>
      </w:r>
      <w:r>
        <w:rPr>
          <w:rFonts w:hint="eastAsia" w:ascii="仿宋_GB2312" w:hAnsi="仿宋" w:eastAsia="仿宋_GB2312"/>
          <w:bCs/>
          <w:sz w:val="32"/>
          <w:szCs w:val="32"/>
          <w:highlight w:val="none"/>
          <w:u w:val="none"/>
          <w:lang w:val="en-US" w:eastAsia="zh-CN"/>
        </w:rPr>
        <w:t>487</w:t>
      </w:r>
      <w:r>
        <w:rPr>
          <w:rFonts w:hint="eastAsia" w:ascii="仿宋_GB2312" w:hAnsi="仿宋" w:eastAsia="仿宋_GB2312"/>
          <w:bCs/>
          <w:sz w:val="32"/>
          <w:szCs w:val="32"/>
          <w:highlight w:val="none"/>
          <w:u w:val="none"/>
        </w:rPr>
        <w:t>万元，增长</w:t>
      </w:r>
      <w:r>
        <w:rPr>
          <w:rFonts w:hint="eastAsia" w:ascii="仿宋_GB2312" w:hAnsi="仿宋" w:eastAsia="仿宋_GB2312"/>
          <w:bCs/>
          <w:sz w:val="32"/>
          <w:szCs w:val="32"/>
          <w:highlight w:val="none"/>
          <w:u w:val="none"/>
          <w:lang w:val="en-US" w:eastAsia="zh-CN"/>
        </w:rPr>
        <w:t>9</w:t>
      </w:r>
      <w:r>
        <w:rPr>
          <w:rFonts w:hint="eastAsia" w:ascii="仿宋_GB2312" w:hAnsi="仿宋" w:eastAsia="仿宋_GB2312"/>
          <w:bCs/>
          <w:sz w:val="32"/>
          <w:szCs w:val="32"/>
          <w:highlight w:val="none"/>
          <w:u w:val="none"/>
        </w:rPr>
        <w:t>.9%；耕地占用税完成912</w:t>
      </w:r>
      <w:r>
        <w:rPr>
          <w:rFonts w:hint="eastAsia" w:ascii="仿宋_GB2312" w:hAnsi="仿宋" w:eastAsia="仿宋_GB2312"/>
          <w:bCs/>
          <w:sz w:val="32"/>
          <w:szCs w:val="32"/>
          <w:highlight w:val="none"/>
          <w:u w:val="none"/>
          <w:lang w:val="en-US" w:eastAsia="zh-CN"/>
        </w:rPr>
        <w:t>7</w:t>
      </w:r>
      <w:r>
        <w:rPr>
          <w:rFonts w:hint="eastAsia" w:ascii="仿宋_GB2312" w:hAnsi="仿宋" w:eastAsia="仿宋_GB2312"/>
          <w:bCs/>
          <w:sz w:val="32"/>
          <w:szCs w:val="32"/>
          <w:highlight w:val="none"/>
          <w:u w:val="none"/>
        </w:rPr>
        <w:t>万元，增</w:t>
      </w:r>
      <w:r>
        <w:rPr>
          <w:rFonts w:hint="eastAsia" w:ascii="仿宋_GB2312" w:hAnsi="仿宋" w:eastAsia="仿宋_GB2312"/>
          <w:bCs/>
          <w:sz w:val="32"/>
          <w:szCs w:val="32"/>
          <w:highlight w:val="none"/>
          <w:u w:val="none"/>
          <w:lang w:val="en-US" w:eastAsia="zh-CN"/>
        </w:rPr>
        <w:t>长</w:t>
      </w:r>
      <w:r>
        <w:rPr>
          <w:rFonts w:hint="eastAsia" w:ascii="仿宋_GB2312" w:hAnsi="仿宋" w:eastAsia="仿宋_GB2312"/>
          <w:bCs/>
          <w:sz w:val="32"/>
          <w:szCs w:val="32"/>
          <w:highlight w:val="none"/>
          <w:u w:val="none"/>
        </w:rPr>
        <w:t>26.6%</w:t>
      </w:r>
      <w:r>
        <w:rPr>
          <w:rFonts w:hint="eastAsia" w:ascii="仿宋_GB2312" w:hAnsi="仿宋" w:eastAsia="仿宋_GB2312"/>
          <w:bCs/>
          <w:sz w:val="32"/>
          <w:szCs w:val="32"/>
          <w:highlight w:val="none"/>
          <w:u w:val="none"/>
          <w:lang w:val="en-US" w:eastAsia="zh-CN"/>
        </w:rPr>
        <w:t>(主要是村村通补缴耕地占用税）</w:t>
      </w:r>
      <w:r>
        <w:rPr>
          <w:rFonts w:hint="eastAsia" w:ascii="仿宋_GB2312" w:hAnsi="仿宋" w:eastAsia="仿宋_GB2312"/>
          <w:bCs/>
          <w:sz w:val="32"/>
          <w:szCs w:val="32"/>
          <w:highlight w:val="none"/>
          <w:u w:val="none"/>
        </w:rPr>
        <w:t>；契税完成2884万元，下降37.1%</w:t>
      </w:r>
      <w:r>
        <w:rPr>
          <w:rFonts w:hint="eastAsia" w:ascii="仿宋_GB2312" w:hAnsi="仿宋" w:eastAsia="仿宋_GB2312"/>
          <w:bCs/>
          <w:sz w:val="32"/>
          <w:szCs w:val="32"/>
          <w:highlight w:val="none"/>
          <w:lang w:eastAsia="zh-CN"/>
        </w:rPr>
        <w:t>（房地产市场不景气）</w:t>
      </w:r>
      <w:r>
        <w:rPr>
          <w:rFonts w:hint="eastAsia" w:ascii="仿宋_GB2312" w:hAnsi="仿宋" w:eastAsia="仿宋_GB2312"/>
          <w:bCs/>
          <w:sz w:val="32"/>
          <w:szCs w:val="32"/>
          <w:highlight w:val="none"/>
        </w:rPr>
        <w:t>；烟叶税完成352万元，下降8.1%；车船税</w:t>
      </w:r>
      <w:r>
        <w:rPr>
          <w:rFonts w:hint="eastAsia" w:ascii="仿宋_GB2312" w:hAnsi="仿宋" w:eastAsia="仿宋_GB2312"/>
          <w:bCs/>
          <w:sz w:val="32"/>
          <w:szCs w:val="32"/>
          <w:highlight w:val="none"/>
          <w:lang w:eastAsia="zh-CN"/>
        </w:rPr>
        <w:t>完成</w:t>
      </w:r>
      <w:r>
        <w:rPr>
          <w:rFonts w:hint="eastAsia" w:ascii="仿宋_GB2312" w:hAnsi="仿宋" w:eastAsia="仿宋_GB2312"/>
          <w:bCs/>
          <w:sz w:val="32"/>
          <w:szCs w:val="32"/>
          <w:highlight w:val="none"/>
        </w:rPr>
        <w:t>2898万元，增长51.6%；资源税</w:t>
      </w:r>
      <w:r>
        <w:rPr>
          <w:rFonts w:hint="eastAsia" w:ascii="仿宋_GB2312" w:hAnsi="仿宋" w:eastAsia="仿宋_GB2312"/>
          <w:bCs/>
          <w:sz w:val="32"/>
          <w:szCs w:val="32"/>
          <w:highlight w:val="none"/>
          <w:lang w:eastAsia="zh-CN"/>
        </w:rPr>
        <w:t>完成</w:t>
      </w:r>
      <w:r>
        <w:rPr>
          <w:rFonts w:hint="eastAsia" w:ascii="仿宋_GB2312" w:hAnsi="仿宋" w:eastAsia="仿宋_GB2312"/>
          <w:bCs/>
          <w:sz w:val="32"/>
          <w:szCs w:val="32"/>
          <w:highlight w:val="none"/>
        </w:rPr>
        <w:t>7132万元，增长453.3%</w:t>
      </w:r>
      <w:r>
        <w:rPr>
          <w:rFonts w:hint="eastAsia" w:ascii="仿宋_GB2312" w:hAnsi="仿宋" w:eastAsia="仿宋_GB2312"/>
          <w:bCs/>
          <w:sz w:val="32"/>
          <w:szCs w:val="32"/>
          <w:highlight w:val="none"/>
          <w:u w:val="none"/>
          <w:lang w:eastAsia="zh-CN"/>
        </w:rPr>
        <w:t>（主要是</w:t>
      </w:r>
      <w:r>
        <w:rPr>
          <w:rFonts w:hint="eastAsia" w:ascii="仿宋_GB2312" w:hAnsi="仿宋" w:eastAsia="仿宋_GB2312"/>
          <w:bCs/>
          <w:sz w:val="32"/>
          <w:szCs w:val="32"/>
          <w:highlight w:val="none"/>
          <w:u w:val="none"/>
          <w:lang w:val="en-US" w:eastAsia="zh-CN"/>
        </w:rPr>
        <w:t>绿化中心、环卫局补缴资源税</w:t>
      </w:r>
      <w:r>
        <w:rPr>
          <w:rFonts w:hint="eastAsia" w:ascii="仿宋_GB2312" w:hAnsi="仿宋" w:eastAsia="仿宋_GB2312"/>
          <w:bCs/>
          <w:sz w:val="32"/>
          <w:szCs w:val="32"/>
          <w:highlight w:val="none"/>
          <w:u w:val="none"/>
          <w:lang w:eastAsia="zh-CN"/>
        </w:rPr>
        <w:t>）</w:t>
      </w:r>
      <w:r>
        <w:rPr>
          <w:rFonts w:hint="eastAsia" w:ascii="仿宋_GB2312" w:hAnsi="仿宋" w:eastAsia="仿宋_GB2312"/>
          <w:bCs/>
          <w:sz w:val="32"/>
          <w:szCs w:val="32"/>
          <w:highlight w:val="none"/>
          <w:u w:val="none"/>
        </w:rPr>
        <w:t>。非税收入完成44881万元，增长41.</w:t>
      </w:r>
      <w:r>
        <w:rPr>
          <w:rFonts w:hint="eastAsia" w:ascii="仿宋_GB2312" w:hAnsi="仿宋" w:eastAsia="仿宋_GB2312"/>
          <w:bCs/>
          <w:sz w:val="32"/>
          <w:szCs w:val="32"/>
          <w:highlight w:val="none"/>
          <w:u w:val="none"/>
          <w:lang w:val="en-US" w:eastAsia="zh-CN"/>
        </w:rPr>
        <w:t>8</w:t>
      </w:r>
      <w:r>
        <w:rPr>
          <w:rFonts w:hint="eastAsia" w:ascii="仿宋_GB2312" w:hAnsi="仿宋" w:eastAsia="仿宋_GB2312"/>
          <w:bCs/>
          <w:sz w:val="32"/>
          <w:szCs w:val="32"/>
          <w:highlight w:val="none"/>
          <w:u w:val="none"/>
        </w:rPr>
        <w:t>%。</w:t>
      </w:r>
      <w:r>
        <w:rPr>
          <w:rFonts w:hint="eastAsia" w:ascii="仿宋_GB2312" w:hAnsi="仿宋" w:eastAsia="仿宋_GB2312"/>
          <w:bCs/>
          <w:sz w:val="32"/>
          <w:szCs w:val="32"/>
          <w:highlight w:val="none"/>
          <w:u w:val="none"/>
          <w:lang w:eastAsia="zh-CN"/>
        </w:rPr>
        <w:t>（</w:t>
      </w:r>
      <w:r>
        <w:rPr>
          <w:rFonts w:hint="eastAsia" w:ascii="仿宋_GB2312" w:hAnsi="仿宋" w:eastAsia="仿宋_GB2312"/>
          <w:bCs/>
          <w:sz w:val="32"/>
          <w:szCs w:val="32"/>
          <w:highlight w:val="none"/>
          <w:u w:val="none"/>
          <w:lang w:val="en-US" w:eastAsia="zh-CN"/>
        </w:rPr>
        <w:t>详见附表一</w:t>
      </w:r>
      <w:r>
        <w:rPr>
          <w:rFonts w:hint="eastAsia" w:ascii="仿宋_GB2312" w:hAnsi="仿宋" w:eastAsia="仿宋_GB2312"/>
          <w:bCs/>
          <w:sz w:val="32"/>
          <w:szCs w:val="32"/>
          <w:highlight w:val="none"/>
          <w:u w:val="none"/>
          <w:lang w:eastAsia="zh-CN"/>
        </w:rPr>
        <w:t>）</w:t>
      </w:r>
    </w:p>
    <w:p w14:paraId="41103367">
      <w:pPr>
        <w:pStyle w:val="6"/>
        <w:keepNext w:val="0"/>
        <w:keepLines w:val="0"/>
        <w:pageBreakBefore w:val="0"/>
        <w:widowControl w:val="0"/>
        <w:kinsoku/>
        <w:wordWrap/>
        <w:overflowPunct w:val="0"/>
        <w:topLinePunct w:val="0"/>
        <w:bidi w:val="0"/>
        <w:adjustRightInd w:val="0"/>
        <w:snapToGrid w:val="0"/>
        <w:spacing w:line="560" w:lineRule="exact"/>
        <w:ind w:firstLine="643"/>
        <w:textAlignment w:val="auto"/>
        <w:rPr>
          <w:rFonts w:hint="eastAsia" w:ascii="仿宋_GB2312" w:hAnsi="仿宋" w:eastAsia="仿宋_GB2312"/>
          <w:bCs/>
          <w:sz w:val="32"/>
          <w:szCs w:val="32"/>
          <w:highlight w:val="none"/>
        </w:rPr>
      </w:pPr>
      <w:r>
        <w:rPr>
          <w:rFonts w:hint="eastAsia" w:ascii="仿宋_GB2312" w:hAnsi="仿宋" w:eastAsia="仿宋_GB2312"/>
          <w:b/>
          <w:bCs w:val="0"/>
          <w:sz w:val="32"/>
          <w:szCs w:val="32"/>
          <w:highlight w:val="none"/>
        </w:rPr>
        <w:t>支出方面</w:t>
      </w:r>
      <w:r>
        <w:rPr>
          <w:rFonts w:hint="eastAsia" w:ascii="仿宋_GB2312" w:hAnsi="仿宋" w:eastAsia="仿宋_GB2312"/>
          <w:bCs/>
          <w:sz w:val="32"/>
          <w:szCs w:val="32"/>
          <w:highlight w:val="none"/>
        </w:rPr>
        <w:t xml:space="preserve"> 县十六届人大常委会第二十</w:t>
      </w:r>
      <w:r>
        <w:rPr>
          <w:rFonts w:hint="eastAsia" w:ascii="仿宋_GB2312" w:hAnsi="仿宋" w:eastAsia="仿宋_GB2312"/>
          <w:bCs/>
          <w:sz w:val="32"/>
          <w:szCs w:val="32"/>
          <w:highlight w:val="none"/>
          <w:lang w:eastAsia="zh-CN"/>
        </w:rPr>
        <w:t>六</w:t>
      </w:r>
      <w:r>
        <w:rPr>
          <w:rFonts w:hint="eastAsia" w:ascii="仿宋_GB2312" w:hAnsi="仿宋" w:eastAsia="仿宋_GB2312"/>
          <w:bCs/>
          <w:sz w:val="32"/>
          <w:szCs w:val="32"/>
          <w:highlight w:val="none"/>
        </w:rPr>
        <w:t>次会议确定2025年支出预算调整为</w:t>
      </w:r>
      <w:r>
        <w:rPr>
          <w:rFonts w:hint="eastAsia" w:ascii="仿宋_GB2312" w:hAnsi="仿宋" w:eastAsia="仿宋_GB2312"/>
          <w:bCs/>
          <w:sz w:val="32"/>
          <w:szCs w:val="32"/>
          <w:highlight w:val="none"/>
          <w:lang w:val="en-US" w:eastAsia="zh-CN"/>
        </w:rPr>
        <w:t>311894</w:t>
      </w:r>
      <w:r>
        <w:rPr>
          <w:rFonts w:hint="eastAsia" w:ascii="仿宋_GB2312" w:hAnsi="仿宋" w:eastAsia="仿宋_GB2312"/>
          <w:bCs/>
          <w:sz w:val="32"/>
          <w:szCs w:val="32"/>
          <w:highlight w:val="none"/>
        </w:rPr>
        <w:t>万元，预算执行中，加上新增政府债券、上级追加、调入资金，减去上解支出、超收收入</w:t>
      </w:r>
      <w:r>
        <w:rPr>
          <w:rFonts w:hint="eastAsia" w:ascii="仿宋_GB2312" w:hAnsi="仿宋" w:eastAsia="仿宋_GB2312"/>
          <w:bCs/>
          <w:sz w:val="32"/>
          <w:szCs w:val="32"/>
          <w:highlight w:val="none"/>
          <w:lang w:eastAsia="zh-CN"/>
        </w:rPr>
        <w:t>、</w:t>
      </w:r>
      <w:r>
        <w:rPr>
          <w:rFonts w:hint="eastAsia" w:ascii="仿宋_GB2312" w:hAnsi="仿宋" w:eastAsia="仿宋_GB2312"/>
          <w:bCs/>
          <w:sz w:val="32"/>
          <w:szCs w:val="32"/>
          <w:highlight w:val="none"/>
        </w:rPr>
        <w:t>安排预算稳定调节基金，实际完成</w:t>
      </w:r>
      <w:r>
        <w:rPr>
          <w:rFonts w:hint="eastAsia" w:ascii="仿宋_GB2312" w:hAnsi="仿宋" w:eastAsia="仿宋_GB2312"/>
          <w:bCs/>
          <w:sz w:val="32"/>
          <w:szCs w:val="32"/>
          <w:highlight w:val="none"/>
          <w:lang w:val="en-US" w:eastAsia="zh-CN"/>
        </w:rPr>
        <w:t>396177</w:t>
      </w:r>
      <w:r>
        <w:rPr>
          <w:rFonts w:hint="eastAsia" w:ascii="仿宋_GB2312" w:hAnsi="仿宋" w:eastAsia="仿宋_GB2312"/>
          <w:bCs/>
          <w:sz w:val="32"/>
          <w:szCs w:val="32"/>
          <w:highlight w:val="none"/>
        </w:rPr>
        <w:t>万元，同比下降</w:t>
      </w:r>
      <w:r>
        <w:rPr>
          <w:rFonts w:hint="eastAsia" w:ascii="仿宋_GB2312" w:hAnsi="仿宋" w:eastAsia="仿宋_GB2312"/>
          <w:bCs/>
          <w:sz w:val="32"/>
          <w:szCs w:val="32"/>
          <w:highlight w:val="none"/>
          <w:lang w:val="en-US" w:eastAsia="zh-CN"/>
        </w:rPr>
        <w:t>6.3</w:t>
      </w:r>
      <w:r>
        <w:rPr>
          <w:rFonts w:hint="eastAsia" w:ascii="仿宋_GB2312" w:hAnsi="仿宋" w:eastAsia="仿宋_GB2312"/>
          <w:bCs/>
          <w:sz w:val="32"/>
          <w:szCs w:val="32"/>
          <w:highlight w:val="none"/>
        </w:rPr>
        <w:t>%。其中：一般公共服务支出</w:t>
      </w:r>
      <w:r>
        <w:rPr>
          <w:rFonts w:hint="eastAsia" w:ascii="仿宋_GB2312" w:hAnsi="仿宋" w:eastAsia="仿宋_GB2312"/>
          <w:bCs/>
          <w:sz w:val="32"/>
          <w:szCs w:val="32"/>
          <w:highlight w:val="none"/>
          <w:lang w:val="en-US" w:eastAsia="zh-CN"/>
        </w:rPr>
        <w:t>20645</w:t>
      </w:r>
      <w:r>
        <w:rPr>
          <w:rFonts w:hint="eastAsia" w:ascii="仿宋_GB2312" w:hAnsi="仿宋" w:eastAsia="仿宋_GB2312"/>
          <w:bCs/>
          <w:sz w:val="32"/>
          <w:szCs w:val="32"/>
          <w:highlight w:val="none"/>
        </w:rPr>
        <w:t>万元，</w:t>
      </w:r>
      <w:r>
        <w:rPr>
          <w:rFonts w:hint="eastAsia" w:ascii="仿宋_GB2312" w:hAnsi="仿宋" w:eastAsia="仿宋_GB2312"/>
          <w:bCs/>
          <w:sz w:val="32"/>
          <w:szCs w:val="32"/>
          <w:highlight w:val="none"/>
          <w:lang w:eastAsia="zh-CN"/>
        </w:rPr>
        <w:t>增长</w:t>
      </w:r>
      <w:r>
        <w:rPr>
          <w:rFonts w:hint="eastAsia" w:ascii="仿宋_GB2312" w:hAnsi="仿宋" w:eastAsia="仿宋_GB2312"/>
          <w:bCs/>
          <w:sz w:val="32"/>
          <w:szCs w:val="32"/>
          <w:highlight w:val="none"/>
          <w:lang w:val="en-US" w:eastAsia="zh-CN"/>
        </w:rPr>
        <w:t>14.9</w:t>
      </w:r>
      <w:r>
        <w:rPr>
          <w:rFonts w:hint="eastAsia" w:ascii="仿宋_GB2312" w:hAnsi="仿宋" w:eastAsia="仿宋_GB2312"/>
          <w:bCs/>
          <w:sz w:val="32"/>
          <w:szCs w:val="32"/>
          <w:highlight w:val="none"/>
        </w:rPr>
        <w:t>%；国防支出62万元，增长87.9%</w:t>
      </w:r>
      <w:r>
        <w:rPr>
          <w:rFonts w:hint="eastAsia" w:ascii="仿宋_GB2312" w:hAnsi="仿宋" w:eastAsia="仿宋_GB2312"/>
          <w:bCs/>
          <w:sz w:val="32"/>
          <w:szCs w:val="32"/>
          <w:highlight w:val="none"/>
          <w:lang w:val="en-US" w:eastAsia="zh-CN"/>
        </w:rPr>
        <w:t>(民兵训练支出62万元）</w:t>
      </w:r>
      <w:r>
        <w:rPr>
          <w:rFonts w:hint="eastAsia" w:ascii="仿宋_GB2312" w:hAnsi="仿宋" w:eastAsia="仿宋_GB2312"/>
          <w:bCs/>
          <w:sz w:val="32"/>
          <w:szCs w:val="32"/>
          <w:highlight w:val="none"/>
        </w:rPr>
        <w:t>；公共安全支出</w:t>
      </w:r>
      <w:r>
        <w:rPr>
          <w:rFonts w:hint="eastAsia" w:ascii="仿宋_GB2312" w:hAnsi="仿宋" w:eastAsia="仿宋_GB2312"/>
          <w:bCs/>
          <w:sz w:val="32"/>
          <w:szCs w:val="32"/>
          <w:highlight w:val="none"/>
          <w:lang w:val="en-US" w:eastAsia="zh-CN"/>
        </w:rPr>
        <w:t>4746</w:t>
      </w:r>
      <w:r>
        <w:rPr>
          <w:rFonts w:hint="eastAsia" w:ascii="仿宋_GB2312" w:hAnsi="仿宋" w:eastAsia="仿宋_GB2312"/>
          <w:bCs/>
          <w:sz w:val="32"/>
          <w:szCs w:val="32"/>
          <w:highlight w:val="none"/>
        </w:rPr>
        <w:t>万元，</w:t>
      </w:r>
      <w:r>
        <w:rPr>
          <w:rFonts w:hint="eastAsia" w:ascii="仿宋_GB2312" w:hAnsi="仿宋" w:eastAsia="仿宋_GB2312"/>
          <w:bCs/>
          <w:sz w:val="32"/>
          <w:szCs w:val="32"/>
          <w:highlight w:val="none"/>
          <w:lang w:val="en-US" w:eastAsia="zh-CN"/>
        </w:rPr>
        <w:t>下降16.6</w:t>
      </w:r>
      <w:r>
        <w:rPr>
          <w:rFonts w:hint="eastAsia" w:ascii="仿宋_GB2312" w:hAnsi="仿宋" w:eastAsia="仿宋_GB2312"/>
          <w:bCs/>
          <w:sz w:val="32"/>
          <w:szCs w:val="32"/>
          <w:highlight w:val="none"/>
        </w:rPr>
        <w:t>%</w:t>
      </w:r>
      <w:r>
        <w:rPr>
          <w:rFonts w:hint="eastAsia" w:ascii="仿宋_GB2312" w:hAnsi="仿宋" w:eastAsia="仿宋_GB2312"/>
          <w:bCs/>
          <w:sz w:val="32"/>
          <w:szCs w:val="32"/>
          <w:highlight w:val="none"/>
          <w:lang w:eastAsia="zh-CN"/>
        </w:rPr>
        <w:t>（上级下达转移支付资金减少）</w:t>
      </w:r>
      <w:r>
        <w:rPr>
          <w:rFonts w:hint="eastAsia" w:ascii="仿宋_GB2312" w:hAnsi="仿宋" w:eastAsia="仿宋_GB2312"/>
          <w:bCs/>
          <w:sz w:val="32"/>
          <w:szCs w:val="32"/>
          <w:highlight w:val="none"/>
        </w:rPr>
        <w:t>；教育支出134920万元，增长0.6%；科学技术支出</w:t>
      </w:r>
      <w:r>
        <w:rPr>
          <w:rFonts w:hint="eastAsia" w:ascii="仿宋_GB2312" w:hAnsi="仿宋" w:eastAsia="仿宋_GB2312"/>
          <w:bCs/>
          <w:sz w:val="32"/>
          <w:szCs w:val="32"/>
          <w:highlight w:val="none"/>
          <w:lang w:val="en-US" w:eastAsia="zh-CN"/>
        </w:rPr>
        <w:t>16684</w:t>
      </w:r>
      <w:r>
        <w:rPr>
          <w:rFonts w:hint="eastAsia" w:ascii="仿宋_GB2312" w:hAnsi="仿宋" w:eastAsia="仿宋_GB2312"/>
          <w:bCs/>
          <w:sz w:val="32"/>
          <w:szCs w:val="32"/>
          <w:highlight w:val="none"/>
        </w:rPr>
        <w:t>万元，</w:t>
      </w:r>
      <w:r>
        <w:rPr>
          <w:rFonts w:hint="eastAsia" w:ascii="仿宋_GB2312" w:hAnsi="仿宋" w:eastAsia="仿宋_GB2312"/>
          <w:bCs/>
          <w:sz w:val="32"/>
          <w:szCs w:val="32"/>
          <w:highlight w:val="none"/>
          <w:lang w:eastAsia="zh-CN"/>
        </w:rPr>
        <w:t>下降</w:t>
      </w:r>
      <w:r>
        <w:rPr>
          <w:rFonts w:hint="eastAsia" w:ascii="仿宋_GB2312" w:hAnsi="仿宋" w:eastAsia="仿宋_GB2312"/>
          <w:bCs/>
          <w:sz w:val="32"/>
          <w:szCs w:val="32"/>
          <w:highlight w:val="none"/>
          <w:lang w:val="en-US" w:eastAsia="zh-CN"/>
        </w:rPr>
        <w:t>37.4</w:t>
      </w:r>
      <w:r>
        <w:rPr>
          <w:rFonts w:hint="eastAsia" w:ascii="仿宋_GB2312" w:hAnsi="仿宋" w:eastAsia="仿宋_GB2312"/>
          <w:bCs/>
          <w:sz w:val="32"/>
          <w:szCs w:val="32"/>
          <w:highlight w:val="none"/>
        </w:rPr>
        <w:t>%</w:t>
      </w:r>
      <w:r>
        <w:rPr>
          <w:rFonts w:hint="eastAsia" w:ascii="仿宋_GB2312" w:hAnsi="仿宋" w:eastAsia="仿宋_GB2312"/>
          <w:bCs/>
          <w:sz w:val="32"/>
          <w:szCs w:val="32"/>
          <w:highlight w:val="none"/>
          <w:lang w:eastAsia="zh-CN"/>
        </w:rPr>
        <w:t>（项目支出同比减少）</w:t>
      </w:r>
      <w:r>
        <w:rPr>
          <w:rFonts w:hint="eastAsia" w:ascii="仿宋_GB2312" w:hAnsi="仿宋" w:eastAsia="仿宋_GB2312"/>
          <w:bCs/>
          <w:sz w:val="32"/>
          <w:szCs w:val="32"/>
          <w:highlight w:val="none"/>
        </w:rPr>
        <w:t>；文化旅游体育与传媒支出</w:t>
      </w:r>
      <w:r>
        <w:rPr>
          <w:rFonts w:hint="eastAsia" w:ascii="仿宋_GB2312" w:hAnsi="仿宋" w:eastAsia="仿宋_GB2312"/>
          <w:bCs/>
          <w:sz w:val="32"/>
          <w:szCs w:val="32"/>
          <w:highlight w:val="none"/>
          <w:lang w:val="en-US" w:eastAsia="zh-CN"/>
        </w:rPr>
        <w:t>3039</w:t>
      </w:r>
      <w:r>
        <w:rPr>
          <w:rFonts w:hint="eastAsia" w:ascii="仿宋_GB2312" w:hAnsi="仿宋" w:eastAsia="仿宋_GB2312"/>
          <w:bCs/>
          <w:sz w:val="32"/>
          <w:szCs w:val="32"/>
          <w:highlight w:val="none"/>
        </w:rPr>
        <w:t>万元，下降</w:t>
      </w:r>
      <w:r>
        <w:rPr>
          <w:rFonts w:hint="eastAsia" w:ascii="仿宋_GB2312" w:hAnsi="仿宋" w:eastAsia="仿宋_GB2312"/>
          <w:bCs/>
          <w:sz w:val="32"/>
          <w:szCs w:val="32"/>
          <w:highlight w:val="none"/>
          <w:lang w:val="en-US" w:eastAsia="zh-CN"/>
        </w:rPr>
        <w:t>53.7</w:t>
      </w:r>
      <w:r>
        <w:rPr>
          <w:rFonts w:hint="eastAsia" w:ascii="仿宋_GB2312" w:hAnsi="仿宋" w:eastAsia="仿宋_GB2312"/>
          <w:bCs/>
          <w:sz w:val="32"/>
          <w:szCs w:val="32"/>
          <w:highlight w:val="none"/>
        </w:rPr>
        <w:t>%</w:t>
      </w:r>
      <w:r>
        <w:rPr>
          <w:rFonts w:hint="eastAsia" w:ascii="仿宋_GB2312" w:hAnsi="仿宋" w:eastAsia="仿宋_GB2312"/>
          <w:bCs/>
          <w:sz w:val="32"/>
          <w:szCs w:val="32"/>
          <w:highlight w:val="none"/>
          <w:lang w:eastAsia="zh-CN"/>
        </w:rPr>
        <w:t>（上级下达转移支付资金减少）</w:t>
      </w:r>
      <w:r>
        <w:rPr>
          <w:rFonts w:hint="eastAsia" w:ascii="仿宋_GB2312" w:hAnsi="仿宋" w:eastAsia="仿宋_GB2312"/>
          <w:bCs/>
          <w:sz w:val="32"/>
          <w:szCs w:val="32"/>
          <w:highlight w:val="none"/>
        </w:rPr>
        <w:t>；社会保障和就业支出</w:t>
      </w:r>
      <w:r>
        <w:rPr>
          <w:rFonts w:hint="eastAsia" w:ascii="仿宋_GB2312" w:hAnsi="仿宋" w:eastAsia="仿宋_GB2312"/>
          <w:bCs/>
          <w:sz w:val="32"/>
          <w:szCs w:val="32"/>
          <w:highlight w:val="none"/>
          <w:lang w:val="en-US" w:eastAsia="zh-CN"/>
        </w:rPr>
        <w:t>54703</w:t>
      </w:r>
      <w:r>
        <w:rPr>
          <w:rFonts w:hint="eastAsia" w:ascii="仿宋_GB2312" w:hAnsi="仿宋" w:eastAsia="仿宋_GB2312"/>
          <w:bCs/>
          <w:sz w:val="32"/>
          <w:szCs w:val="32"/>
          <w:highlight w:val="none"/>
        </w:rPr>
        <w:t>万元，下</w:t>
      </w:r>
      <w:r>
        <w:rPr>
          <w:rFonts w:hint="eastAsia" w:ascii="仿宋_GB2312" w:hAnsi="仿宋" w:eastAsia="仿宋_GB2312"/>
          <w:bCs/>
          <w:sz w:val="32"/>
          <w:szCs w:val="32"/>
          <w:highlight w:val="none"/>
          <w:lang w:eastAsia="zh-CN"/>
        </w:rPr>
        <w:t>降</w:t>
      </w:r>
      <w:r>
        <w:rPr>
          <w:rFonts w:hint="eastAsia" w:ascii="仿宋_GB2312" w:hAnsi="仿宋" w:eastAsia="仿宋_GB2312"/>
          <w:bCs/>
          <w:sz w:val="32"/>
          <w:szCs w:val="32"/>
          <w:highlight w:val="none"/>
          <w:lang w:val="en-US" w:eastAsia="zh-CN"/>
        </w:rPr>
        <w:t>6.5</w:t>
      </w:r>
      <w:r>
        <w:rPr>
          <w:rFonts w:hint="eastAsia" w:ascii="仿宋_GB2312" w:hAnsi="仿宋" w:eastAsia="仿宋_GB2312"/>
          <w:bCs/>
          <w:sz w:val="32"/>
          <w:szCs w:val="32"/>
          <w:highlight w:val="none"/>
        </w:rPr>
        <w:t>%；卫生与健康支出</w:t>
      </w:r>
      <w:r>
        <w:rPr>
          <w:rFonts w:hint="eastAsia" w:ascii="仿宋_GB2312" w:hAnsi="仿宋" w:eastAsia="仿宋_GB2312"/>
          <w:bCs/>
          <w:sz w:val="32"/>
          <w:szCs w:val="32"/>
          <w:highlight w:val="none"/>
          <w:lang w:val="en-US" w:eastAsia="zh-CN"/>
        </w:rPr>
        <w:t>43698</w:t>
      </w:r>
      <w:r>
        <w:rPr>
          <w:rFonts w:hint="eastAsia" w:ascii="仿宋_GB2312" w:hAnsi="仿宋" w:eastAsia="仿宋_GB2312"/>
          <w:bCs/>
          <w:sz w:val="32"/>
          <w:szCs w:val="32"/>
          <w:highlight w:val="none"/>
        </w:rPr>
        <w:t>万元，下降</w:t>
      </w:r>
      <w:r>
        <w:rPr>
          <w:rFonts w:hint="eastAsia" w:ascii="仿宋_GB2312" w:hAnsi="仿宋" w:eastAsia="仿宋_GB2312"/>
          <w:bCs/>
          <w:sz w:val="32"/>
          <w:szCs w:val="32"/>
          <w:highlight w:val="none"/>
          <w:lang w:val="en-US" w:eastAsia="zh-CN"/>
        </w:rPr>
        <w:t>2.8</w:t>
      </w:r>
      <w:r>
        <w:rPr>
          <w:rFonts w:hint="eastAsia" w:ascii="仿宋_GB2312" w:hAnsi="仿宋" w:eastAsia="仿宋_GB2312"/>
          <w:bCs/>
          <w:sz w:val="32"/>
          <w:szCs w:val="32"/>
          <w:highlight w:val="none"/>
        </w:rPr>
        <w:t>%；节能环保支出21274万元，</w:t>
      </w:r>
      <w:r>
        <w:rPr>
          <w:rFonts w:hint="eastAsia" w:ascii="仿宋_GB2312" w:hAnsi="仿宋" w:eastAsia="仿宋_GB2312"/>
          <w:bCs/>
          <w:sz w:val="32"/>
          <w:szCs w:val="32"/>
          <w:highlight w:val="none"/>
          <w:lang w:eastAsia="zh-CN"/>
        </w:rPr>
        <w:t>下降</w:t>
      </w:r>
      <w:r>
        <w:rPr>
          <w:rFonts w:hint="eastAsia" w:ascii="仿宋_GB2312" w:hAnsi="仿宋" w:eastAsia="仿宋_GB2312"/>
          <w:bCs/>
          <w:sz w:val="32"/>
          <w:szCs w:val="32"/>
          <w:highlight w:val="none"/>
          <w:lang w:val="en-US" w:eastAsia="zh-CN"/>
        </w:rPr>
        <w:t>8.6</w:t>
      </w:r>
      <w:r>
        <w:rPr>
          <w:rFonts w:hint="eastAsia" w:ascii="仿宋_GB2312" w:hAnsi="仿宋" w:eastAsia="仿宋_GB2312"/>
          <w:bCs/>
          <w:sz w:val="32"/>
          <w:szCs w:val="32"/>
          <w:highlight w:val="none"/>
        </w:rPr>
        <w:t>%；城乡社区支出3675万元，下降0.2%；农林水支出60095万元，下降3.3%；交通运输支出</w:t>
      </w:r>
      <w:r>
        <w:rPr>
          <w:rFonts w:hint="eastAsia" w:ascii="仿宋_GB2312" w:hAnsi="仿宋" w:eastAsia="仿宋_GB2312"/>
          <w:bCs/>
          <w:sz w:val="32"/>
          <w:szCs w:val="32"/>
          <w:highlight w:val="none"/>
          <w:lang w:val="en-US" w:eastAsia="zh-CN"/>
        </w:rPr>
        <w:t>9937</w:t>
      </w:r>
      <w:r>
        <w:rPr>
          <w:rFonts w:hint="eastAsia" w:ascii="仿宋_GB2312" w:hAnsi="仿宋" w:eastAsia="仿宋_GB2312"/>
          <w:bCs/>
          <w:sz w:val="32"/>
          <w:szCs w:val="32"/>
          <w:highlight w:val="none"/>
        </w:rPr>
        <w:t>万元，</w:t>
      </w:r>
      <w:r>
        <w:rPr>
          <w:rFonts w:hint="eastAsia" w:ascii="仿宋_GB2312" w:hAnsi="仿宋" w:eastAsia="仿宋_GB2312"/>
          <w:bCs/>
          <w:sz w:val="32"/>
          <w:szCs w:val="32"/>
          <w:highlight w:val="none"/>
          <w:lang w:val="en-US" w:eastAsia="zh-CN"/>
        </w:rPr>
        <w:t>下降8.9</w:t>
      </w:r>
      <w:r>
        <w:rPr>
          <w:rFonts w:hint="eastAsia" w:ascii="仿宋_GB2312" w:hAnsi="仿宋" w:eastAsia="仿宋_GB2312"/>
          <w:bCs/>
          <w:sz w:val="32"/>
          <w:szCs w:val="32"/>
          <w:highlight w:val="none"/>
        </w:rPr>
        <w:t>%；资源勘探信息等支出</w:t>
      </w:r>
      <w:r>
        <w:rPr>
          <w:rFonts w:hint="eastAsia" w:ascii="仿宋_GB2312" w:hAnsi="仿宋" w:eastAsia="仿宋_GB2312"/>
          <w:bCs/>
          <w:sz w:val="32"/>
          <w:szCs w:val="32"/>
          <w:highlight w:val="none"/>
          <w:lang w:val="en-US" w:eastAsia="zh-CN"/>
        </w:rPr>
        <w:t>2405</w:t>
      </w:r>
      <w:r>
        <w:rPr>
          <w:rFonts w:hint="eastAsia" w:ascii="仿宋_GB2312" w:hAnsi="仿宋" w:eastAsia="仿宋_GB2312"/>
          <w:bCs/>
          <w:sz w:val="32"/>
          <w:szCs w:val="32"/>
          <w:highlight w:val="none"/>
        </w:rPr>
        <w:t>万元，下降</w:t>
      </w:r>
      <w:r>
        <w:rPr>
          <w:rFonts w:hint="eastAsia" w:ascii="仿宋_GB2312" w:hAnsi="仿宋" w:eastAsia="仿宋_GB2312"/>
          <w:bCs/>
          <w:sz w:val="32"/>
          <w:szCs w:val="32"/>
          <w:highlight w:val="none"/>
          <w:lang w:val="en-US" w:eastAsia="zh-CN"/>
        </w:rPr>
        <w:t>55.2</w:t>
      </w:r>
      <w:r>
        <w:rPr>
          <w:rFonts w:hint="eastAsia" w:ascii="仿宋_GB2312" w:hAnsi="仿宋" w:eastAsia="仿宋_GB2312"/>
          <w:bCs/>
          <w:sz w:val="32"/>
          <w:szCs w:val="32"/>
          <w:highlight w:val="none"/>
        </w:rPr>
        <w:t>%</w:t>
      </w:r>
      <w:r>
        <w:rPr>
          <w:rFonts w:hint="eastAsia" w:ascii="仿宋_GB2312" w:hAnsi="仿宋" w:eastAsia="仿宋_GB2312"/>
          <w:bCs/>
          <w:sz w:val="32"/>
          <w:szCs w:val="32"/>
          <w:highlight w:val="none"/>
          <w:lang w:eastAsia="zh-CN"/>
        </w:rPr>
        <w:t>（上级下达转移支付资金减少）</w:t>
      </w:r>
      <w:r>
        <w:rPr>
          <w:rFonts w:hint="eastAsia" w:ascii="仿宋_GB2312" w:hAnsi="仿宋" w:eastAsia="仿宋_GB2312"/>
          <w:bCs/>
          <w:sz w:val="32"/>
          <w:szCs w:val="32"/>
          <w:highlight w:val="none"/>
        </w:rPr>
        <w:t>；商业服务业等支出201万元，增长1727.3%</w:t>
      </w:r>
      <w:r>
        <w:rPr>
          <w:rFonts w:hint="eastAsia" w:ascii="仿宋_GB2312" w:hAnsi="仿宋" w:eastAsia="仿宋_GB2312"/>
          <w:bCs/>
          <w:sz w:val="32"/>
          <w:szCs w:val="32"/>
          <w:highlight w:val="none"/>
          <w:lang w:eastAsia="zh-CN"/>
        </w:rPr>
        <w:t>（上年结转费用在本年度支出）</w:t>
      </w:r>
      <w:r>
        <w:rPr>
          <w:rFonts w:hint="eastAsia" w:ascii="仿宋_GB2312" w:hAnsi="仿宋" w:eastAsia="仿宋_GB2312"/>
          <w:bCs/>
          <w:sz w:val="32"/>
          <w:szCs w:val="32"/>
          <w:highlight w:val="none"/>
        </w:rPr>
        <w:t>；自然资源海洋气象等支出4923万元，增长24.9%</w:t>
      </w:r>
      <w:r>
        <w:rPr>
          <w:rFonts w:hint="eastAsia" w:ascii="仿宋_GB2312" w:hAnsi="仿宋" w:eastAsia="仿宋_GB2312"/>
          <w:bCs/>
          <w:color w:val="auto"/>
          <w:sz w:val="32"/>
          <w:szCs w:val="32"/>
          <w:highlight w:val="none"/>
          <w:lang w:eastAsia="zh-CN"/>
        </w:rPr>
        <w:t>（支付唐河购地指标）</w:t>
      </w:r>
      <w:r>
        <w:rPr>
          <w:rFonts w:hint="eastAsia" w:ascii="仿宋_GB2312" w:hAnsi="仿宋" w:eastAsia="仿宋_GB2312"/>
          <w:bCs/>
          <w:color w:val="auto"/>
          <w:sz w:val="32"/>
          <w:szCs w:val="32"/>
          <w:highlight w:val="none"/>
        </w:rPr>
        <w:t>；住房保障支出</w:t>
      </w:r>
      <w:r>
        <w:rPr>
          <w:rFonts w:hint="eastAsia" w:ascii="仿宋_GB2312" w:hAnsi="仿宋" w:eastAsia="仿宋_GB2312"/>
          <w:bCs/>
          <w:color w:val="auto"/>
          <w:sz w:val="32"/>
          <w:szCs w:val="32"/>
          <w:highlight w:val="none"/>
          <w:lang w:val="en-US" w:eastAsia="zh-CN"/>
        </w:rPr>
        <w:t>6409</w:t>
      </w:r>
      <w:r>
        <w:rPr>
          <w:rFonts w:hint="eastAsia" w:ascii="仿宋_GB2312" w:hAnsi="仿宋" w:eastAsia="仿宋_GB2312"/>
          <w:bCs/>
          <w:color w:val="auto"/>
          <w:sz w:val="32"/>
          <w:szCs w:val="32"/>
          <w:highlight w:val="none"/>
        </w:rPr>
        <w:t>万元，增长</w:t>
      </w:r>
      <w:r>
        <w:rPr>
          <w:rFonts w:hint="eastAsia" w:ascii="仿宋_GB2312" w:hAnsi="仿宋" w:eastAsia="仿宋_GB2312"/>
          <w:bCs/>
          <w:color w:val="auto"/>
          <w:sz w:val="32"/>
          <w:szCs w:val="32"/>
          <w:highlight w:val="none"/>
          <w:lang w:val="en-US" w:eastAsia="zh-CN"/>
        </w:rPr>
        <w:t>34.8</w:t>
      </w:r>
      <w:r>
        <w:rPr>
          <w:rFonts w:hint="eastAsia" w:ascii="仿宋_GB2312" w:hAnsi="仿宋" w:eastAsia="仿宋_GB2312"/>
          <w:bCs/>
          <w:color w:val="auto"/>
          <w:sz w:val="32"/>
          <w:szCs w:val="32"/>
          <w:highlight w:val="none"/>
        </w:rPr>
        <w:t>%</w:t>
      </w:r>
      <w:r>
        <w:rPr>
          <w:rFonts w:hint="eastAsia" w:ascii="仿宋_GB2312" w:hAnsi="仿宋" w:eastAsia="仿宋_GB2312"/>
          <w:bCs/>
          <w:color w:val="auto"/>
          <w:sz w:val="32"/>
          <w:szCs w:val="32"/>
          <w:highlight w:val="none"/>
          <w:lang w:eastAsia="zh-CN"/>
        </w:rPr>
        <w:t>（根据上级政策调整公积金支出列入住房保障支出科目</w:t>
      </w:r>
      <w:r>
        <w:rPr>
          <w:rFonts w:hint="eastAsia" w:ascii="仿宋_GB2312" w:hAnsi="仿宋" w:eastAsia="仿宋_GB2312"/>
          <w:bCs/>
          <w:sz w:val="32"/>
          <w:szCs w:val="32"/>
          <w:highlight w:val="none"/>
          <w:lang w:eastAsia="zh-CN"/>
        </w:rPr>
        <w:t>）</w:t>
      </w:r>
      <w:r>
        <w:rPr>
          <w:rFonts w:hint="eastAsia" w:ascii="仿宋_GB2312" w:hAnsi="仿宋" w:eastAsia="仿宋_GB2312"/>
          <w:bCs/>
          <w:sz w:val="32"/>
          <w:szCs w:val="32"/>
          <w:highlight w:val="none"/>
        </w:rPr>
        <w:t>；粮油物资储备支出1247万元，下降81.7%</w:t>
      </w:r>
      <w:r>
        <w:rPr>
          <w:rFonts w:hint="eastAsia" w:ascii="仿宋_GB2312" w:hAnsi="仿宋" w:eastAsia="仿宋_GB2312"/>
          <w:bCs/>
          <w:sz w:val="32"/>
          <w:szCs w:val="32"/>
          <w:highlight w:val="none"/>
          <w:lang w:eastAsia="zh-CN"/>
        </w:rPr>
        <w:t>（本年度粮库建设支出减少）</w:t>
      </w:r>
      <w:r>
        <w:rPr>
          <w:rFonts w:hint="eastAsia" w:ascii="仿宋_GB2312" w:hAnsi="仿宋" w:eastAsia="仿宋_GB2312"/>
          <w:bCs/>
          <w:sz w:val="32"/>
          <w:szCs w:val="32"/>
          <w:highlight w:val="none"/>
        </w:rPr>
        <w:t>；灾害防治及应急管理支出2446万元，增长26.0%</w:t>
      </w:r>
      <w:r>
        <w:rPr>
          <w:rFonts w:hint="eastAsia" w:ascii="仿宋_GB2312" w:hAnsi="仿宋" w:eastAsia="仿宋_GB2312"/>
          <w:bCs/>
          <w:sz w:val="32"/>
          <w:szCs w:val="32"/>
          <w:highlight w:val="none"/>
          <w:lang w:eastAsia="zh-CN"/>
        </w:rPr>
        <w:t>（主要用于“</w:t>
      </w:r>
      <w:r>
        <w:rPr>
          <w:rFonts w:hint="eastAsia" w:ascii="仿宋_GB2312" w:hAnsi="仿宋" w:eastAsia="仿宋_GB2312"/>
          <w:bCs/>
          <w:sz w:val="32"/>
          <w:szCs w:val="32"/>
          <w:highlight w:val="none"/>
          <w:lang w:val="en-US" w:eastAsia="zh-CN"/>
        </w:rPr>
        <w:t>630</w:t>
      </w:r>
      <w:r>
        <w:rPr>
          <w:rFonts w:hint="eastAsia" w:ascii="仿宋_GB2312" w:hAnsi="仿宋" w:eastAsia="仿宋_GB2312"/>
          <w:bCs/>
          <w:sz w:val="32"/>
          <w:szCs w:val="32"/>
          <w:highlight w:val="none"/>
          <w:lang w:eastAsia="zh-CN"/>
        </w:rPr>
        <w:t>”水毁灾害）</w:t>
      </w:r>
      <w:r>
        <w:rPr>
          <w:rFonts w:hint="eastAsia" w:ascii="仿宋_GB2312" w:hAnsi="仿宋" w:eastAsia="仿宋_GB2312"/>
          <w:bCs/>
          <w:sz w:val="32"/>
          <w:szCs w:val="32"/>
          <w:highlight w:val="none"/>
        </w:rPr>
        <w:t>；债务付息支出5067万元；债务发行费用支出1万元。</w:t>
      </w:r>
      <w:r>
        <w:rPr>
          <w:rFonts w:hint="eastAsia" w:ascii="仿宋_GB2312" w:hAnsi="仿宋" w:eastAsia="仿宋_GB2312"/>
          <w:bCs/>
          <w:sz w:val="32"/>
          <w:szCs w:val="32"/>
          <w:highlight w:val="none"/>
          <w:lang w:eastAsia="zh-CN"/>
        </w:rPr>
        <w:t>（</w:t>
      </w:r>
      <w:r>
        <w:rPr>
          <w:rFonts w:hint="eastAsia" w:ascii="仿宋_GB2312" w:hAnsi="仿宋" w:eastAsia="仿宋_GB2312"/>
          <w:bCs/>
          <w:sz w:val="32"/>
          <w:szCs w:val="32"/>
          <w:highlight w:val="none"/>
          <w:lang w:val="en-US" w:eastAsia="zh-CN"/>
        </w:rPr>
        <w:t>详见附表一</w:t>
      </w:r>
      <w:r>
        <w:rPr>
          <w:rFonts w:hint="eastAsia" w:ascii="仿宋_GB2312" w:hAnsi="仿宋" w:eastAsia="仿宋_GB2312"/>
          <w:bCs/>
          <w:sz w:val="32"/>
          <w:szCs w:val="32"/>
          <w:highlight w:val="none"/>
          <w:lang w:eastAsia="zh-CN"/>
        </w:rPr>
        <w:t>）</w:t>
      </w:r>
    </w:p>
    <w:p w14:paraId="19FE0FA8">
      <w:pPr>
        <w:pStyle w:val="6"/>
        <w:keepNext w:val="0"/>
        <w:keepLines w:val="0"/>
        <w:pageBreakBefore w:val="0"/>
        <w:widowControl w:val="0"/>
        <w:kinsoku/>
        <w:wordWrap/>
        <w:overflowPunct w:val="0"/>
        <w:topLinePunct w:val="0"/>
        <w:bidi w:val="0"/>
        <w:adjustRightInd w:val="0"/>
        <w:snapToGrid w:val="0"/>
        <w:spacing w:line="560" w:lineRule="exact"/>
        <w:ind w:firstLine="643"/>
        <w:textAlignment w:val="auto"/>
        <w:rPr>
          <w:rFonts w:hint="eastAsia" w:ascii="仿宋_GB2312" w:hAnsi="仿宋" w:eastAsia="仿宋_GB2312"/>
          <w:bCs/>
          <w:sz w:val="32"/>
          <w:szCs w:val="32"/>
        </w:rPr>
      </w:pPr>
      <w:r>
        <w:rPr>
          <w:rFonts w:hint="eastAsia" w:ascii="仿宋_GB2312" w:hAnsi="仿宋" w:eastAsia="仿宋_GB2312"/>
          <w:b/>
          <w:bCs w:val="0"/>
          <w:sz w:val="32"/>
          <w:szCs w:val="32"/>
        </w:rPr>
        <w:t>2.政府性基金预算</w:t>
      </w:r>
    </w:p>
    <w:p w14:paraId="1BC83FE9">
      <w:pPr>
        <w:pStyle w:val="6"/>
        <w:keepNext w:val="0"/>
        <w:keepLines w:val="0"/>
        <w:pageBreakBefore w:val="0"/>
        <w:widowControl w:val="0"/>
        <w:kinsoku/>
        <w:wordWrap/>
        <w:overflowPunct w:val="0"/>
        <w:topLinePunct w:val="0"/>
        <w:bidi w:val="0"/>
        <w:adjustRightInd w:val="0"/>
        <w:snapToGrid w:val="0"/>
        <w:spacing w:line="560" w:lineRule="exact"/>
        <w:ind w:firstLine="643"/>
        <w:textAlignment w:val="auto"/>
        <w:rPr>
          <w:rFonts w:hint="eastAsia" w:ascii="仿宋_GB2312" w:hAnsi="仿宋" w:eastAsia="仿宋_GB2312"/>
          <w:bCs/>
          <w:color w:val="auto"/>
          <w:sz w:val="32"/>
          <w:szCs w:val="32"/>
          <w:highlight w:val="none"/>
        </w:rPr>
      </w:pPr>
      <w:r>
        <w:rPr>
          <w:rFonts w:hint="eastAsia" w:ascii="仿宋_GB2312" w:hAnsi="仿宋" w:eastAsia="仿宋_GB2312"/>
          <w:bCs/>
          <w:sz w:val="32"/>
          <w:szCs w:val="32"/>
          <w:highlight w:val="none"/>
        </w:rPr>
        <w:t>县十六届人大常委会第二十</w:t>
      </w:r>
      <w:r>
        <w:rPr>
          <w:rFonts w:hint="eastAsia" w:ascii="仿宋_GB2312" w:hAnsi="仿宋" w:eastAsia="仿宋_GB2312"/>
          <w:bCs/>
          <w:sz w:val="32"/>
          <w:szCs w:val="32"/>
          <w:highlight w:val="none"/>
          <w:lang w:eastAsia="zh-CN"/>
        </w:rPr>
        <w:t>六次</w:t>
      </w:r>
      <w:r>
        <w:rPr>
          <w:rFonts w:hint="eastAsia" w:ascii="仿宋_GB2312" w:hAnsi="仿宋" w:eastAsia="仿宋_GB2312"/>
          <w:bCs/>
          <w:sz w:val="32"/>
          <w:szCs w:val="32"/>
          <w:highlight w:val="none"/>
        </w:rPr>
        <w:t>会议批准的2025年全县政府性基金收入预算调整为</w:t>
      </w:r>
      <w:r>
        <w:rPr>
          <w:rFonts w:hint="eastAsia" w:ascii="仿宋_GB2312" w:hAnsi="仿宋" w:eastAsia="仿宋_GB2312"/>
          <w:bCs/>
          <w:sz w:val="32"/>
          <w:szCs w:val="32"/>
          <w:highlight w:val="none"/>
          <w:lang w:val="en-US" w:eastAsia="zh-CN"/>
        </w:rPr>
        <w:t>14080</w:t>
      </w:r>
      <w:r>
        <w:rPr>
          <w:rFonts w:hint="eastAsia" w:ascii="仿宋_GB2312" w:hAnsi="仿宋" w:eastAsia="仿宋_GB2312"/>
          <w:bCs/>
          <w:sz w:val="32"/>
          <w:szCs w:val="32"/>
          <w:highlight w:val="none"/>
        </w:rPr>
        <w:t>万元，实际完成14080万元，下降60.5%；支出预算调整为</w:t>
      </w:r>
      <w:r>
        <w:rPr>
          <w:rFonts w:hint="eastAsia" w:ascii="仿宋_GB2312" w:hAnsi="仿宋" w:eastAsia="仿宋_GB2312"/>
          <w:bCs/>
          <w:sz w:val="32"/>
          <w:szCs w:val="32"/>
          <w:highlight w:val="none"/>
          <w:lang w:val="en-US" w:eastAsia="zh-CN"/>
        </w:rPr>
        <w:t>91856</w:t>
      </w:r>
      <w:r>
        <w:rPr>
          <w:rFonts w:hint="eastAsia" w:ascii="仿宋_GB2312" w:hAnsi="仿宋" w:eastAsia="仿宋_GB2312"/>
          <w:bCs/>
          <w:sz w:val="32"/>
          <w:szCs w:val="32"/>
          <w:highlight w:val="none"/>
        </w:rPr>
        <w:t>万元，加上新增政府专项债券、</w:t>
      </w:r>
      <w:r>
        <w:rPr>
          <w:rFonts w:hint="eastAsia" w:ascii="仿宋_GB2312" w:hAnsi="仿宋" w:eastAsia="仿宋_GB2312"/>
          <w:bCs/>
          <w:sz w:val="32"/>
          <w:szCs w:val="32"/>
          <w:highlight w:val="none"/>
          <w:lang w:eastAsia="zh-CN"/>
        </w:rPr>
        <w:t>转移支付、调入资金</w:t>
      </w:r>
      <w:r>
        <w:rPr>
          <w:rFonts w:hint="eastAsia" w:ascii="仿宋_GB2312" w:hAnsi="仿宋" w:eastAsia="仿宋_GB2312"/>
          <w:bCs/>
          <w:sz w:val="32"/>
          <w:szCs w:val="32"/>
          <w:highlight w:val="none"/>
        </w:rPr>
        <w:t>，减去债务还本支出，实际完成</w:t>
      </w:r>
      <w:r>
        <w:rPr>
          <w:rFonts w:hint="eastAsia" w:ascii="仿宋_GB2312" w:hAnsi="仿宋" w:eastAsia="仿宋_GB2312"/>
          <w:bCs/>
          <w:sz w:val="32"/>
          <w:szCs w:val="32"/>
          <w:highlight w:val="none"/>
          <w:lang w:val="en-US" w:eastAsia="zh-CN"/>
        </w:rPr>
        <w:t>102781</w:t>
      </w:r>
      <w:r>
        <w:rPr>
          <w:rFonts w:hint="eastAsia" w:ascii="仿宋_GB2312" w:hAnsi="仿宋" w:eastAsia="仿宋_GB2312"/>
          <w:bCs/>
          <w:sz w:val="32"/>
          <w:szCs w:val="32"/>
          <w:highlight w:val="none"/>
        </w:rPr>
        <w:t>万元，</w:t>
      </w:r>
      <w:r>
        <w:rPr>
          <w:rFonts w:hint="eastAsia" w:ascii="仿宋_GB2312" w:hAnsi="仿宋" w:eastAsia="仿宋_GB2312"/>
          <w:bCs/>
          <w:sz w:val="32"/>
          <w:szCs w:val="32"/>
          <w:highlight w:val="none"/>
          <w:lang w:val="en-US" w:eastAsia="zh-CN"/>
        </w:rPr>
        <w:t>增长5.5</w:t>
      </w:r>
      <w:r>
        <w:rPr>
          <w:rFonts w:hint="eastAsia" w:ascii="仿宋_GB2312" w:hAnsi="仿宋" w:eastAsia="仿宋_GB2312"/>
          <w:bCs/>
          <w:sz w:val="32"/>
          <w:szCs w:val="32"/>
          <w:highlight w:val="none"/>
        </w:rPr>
        <w:t>%。</w:t>
      </w:r>
      <w:r>
        <w:rPr>
          <w:rFonts w:hint="eastAsia" w:ascii="仿宋_GB2312" w:hAnsi="仿宋" w:eastAsia="仿宋_GB2312"/>
          <w:bCs/>
          <w:color w:val="auto"/>
          <w:sz w:val="32"/>
          <w:szCs w:val="32"/>
          <w:highlight w:val="none"/>
        </w:rPr>
        <w:t>结余</w:t>
      </w:r>
      <w:r>
        <w:rPr>
          <w:rFonts w:hint="eastAsia" w:ascii="仿宋_GB2312" w:hAnsi="仿宋" w:eastAsia="仿宋_GB2312"/>
          <w:bCs/>
          <w:color w:val="auto"/>
          <w:sz w:val="32"/>
          <w:szCs w:val="32"/>
          <w:highlight w:val="none"/>
          <w:lang w:val="en-US" w:eastAsia="zh-CN"/>
        </w:rPr>
        <w:t>14421万元</w:t>
      </w:r>
      <w:r>
        <w:rPr>
          <w:rFonts w:hint="eastAsia" w:ascii="仿宋_GB2312" w:hAnsi="仿宋" w:eastAsia="仿宋_GB2312"/>
          <w:bCs/>
          <w:color w:val="auto"/>
          <w:sz w:val="32"/>
          <w:szCs w:val="32"/>
          <w:highlight w:val="none"/>
          <w:lang w:eastAsia="zh-CN"/>
        </w:rPr>
        <w:t>，结转下年支出。（</w:t>
      </w:r>
      <w:r>
        <w:rPr>
          <w:rFonts w:hint="eastAsia" w:ascii="仿宋_GB2312" w:hAnsi="仿宋" w:eastAsia="仿宋_GB2312"/>
          <w:bCs/>
          <w:color w:val="auto"/>
          <w:sz w:val="32"/>
          <w:szCs w:val="32"/>
          <w:highlight w:val="none"/>
          <w:lang w:val="en-US" w:eastAsia="zh-CN"/>
        </w:rPr>
        <w:t>详见附表二</w:t>
      </w:r>
      <w:r>
        <w:rPr>
          <w:rFonts w:hint="eastAsia" w:ascii="仿宋_GB2312" w:hAnsi="仿宋" w:eastAsia="仿宋_GB2312"/>
          <w:bCs/>
          <w:color w:val="auto"/>
          <w:sz w:val="32"/>
          <w:szCs w:val="32"/>
          <w:highlight w:val="none"/>
          <w:lang w:eastAsia="zh-CN"/>
        </w:rPr>
        <w:t>）</w:t>
      </w:r>
    </w:p>
    <w:p w14:paraId="5BF0642B">
      <w:pPr>
        <w:keepNext w:val="0"/>
        <w:keepLines w:val="0"/>
        <w:pageBreakBefore w:val="0"/>
        <w:widowControl w:val="0"/>
        <w:kinsoku/>
        <w:wordWrap/>
        <w:overflowPunct w:val="0"/>
        <w:topLinePunct w:val="0"/>
        <w:bidi w:val="0"/>
        <w:adjustRightInd w:val="0"/>
        <w:snapToGrid w:val="0"/>
        <w:spacing w:line="560" w:lineRule="exact"/>
        <w:ind w:firstLine="643" w:firstLineChars="200"/>
        <w:textAlignment w:val="auto"/>
        <w:rPr>
          <w:rFonts w:ascii="仿宋_GB2312" w:hAnsi="仿宋" w:eastAsia="仿宋_GB2312"/>
          <w:b/>
          <w:kern w:val="0"/>
          <w:sz w:val="32"/>
          <w:szCs w:val="32"/>
        </w:rPr>
      </w:pPr>
      <w:r>
        <w:rPr>
          <w:rFonts w:ascii="仿宋_GB2312" w:hAnsi="仿宋" w:eastAsia="仿宋_GB2312"/>
          <w:b/>
          <w:kern w:val="0"/>
          <w:sz w:val="32"/>
          <w:szCs w:val="32"/>
        </w:rPr>
        <w:t>3.</w:t>
      </w:r>
      <w:r>
        <w:rPr>
          <w:rFonts w:hint="eastAsia" w:ascii="仿宋_GB2312" w:hAnsi="仿宋" w:eastAsia="仿宋_GB2312"/>
          <w:b/>
          <w:kern w:val="0"/>
          <w:sz w:val="32"/>
          <w:szCs w:val="32"/>
        </w:rPr>
        <w:t>社会保险基金预算</w:t>
      </w:r>
    </w:p>
    <w:p w14:paraId="48883E9B">
      <w:pPr>
        <w:pStyle w:val="6"/>
        <w:keepNext w:val="0"/>
        <w:keepLines w:val="0"/>
        <w:pageBreakBefore w:val="0"/>
        <w:widowControl w:val="0"/>
        <w:kinsoku/>
        <w:wordWrap/>
        <w:overflowPunct w:val="0"/>
        <w:topLinePunct w:val="0"/>
        <w:bidi w:val="0"/>
        <w:adjustRightInd w:val="0"/>
        <w:snapToGrid w:val="0"/>
        <w:spacing w:line="560" w:lineRule="exact"/>
        <w:ind w:firstLine="643"/>
        <w:textAlignment w:val="auto"/>
        <w:rPr>
          <w:rFonts w:hint="eastAsia" w:ascii="仿宋_GB2312" w:hAnsi="仿宋" w:eastAsia="仿宋_GB2312"/>
          <w:bCs/>
          <w:sz w:val="32"/>
          <w:szCs w:val="32"/>
        </w:rPr>
      </w:pPr>
      <w:r>
        <w:rPr>
          <w:rFonts w:hint="eastAsia" w:ascii="仿宋_GB2312" w:hAnsi="仿宋" w:eastAsia="仿宋_GB2312"/>
          <w:bCs/>
          <w:sz w:val="32"/>
          <w:szCs w:val="32"/>
        </w:rPr>
        <w:t>县十六届人大</w:t>
      </w:r>
      <w:r>
        <w:rPr>
          <w:rFonts w:hint="eastAsia" w:ascii="仿宋_GB2312" w:hAnsi="仿宋" w:eastAsia="仿宋_GB2312"/>
          <w:bCs/>
          <w:sz w:val="32"/>
          <w:szCs w:val="32"/>
          <w:lang w:val="en-US" w:eastAsia="zh-CN"/>
        </w:rPr>
        <w:t>六</w:t>
      </w:r>
      <w:r>
        <w:rPr>
          <w:rFonts w:hint="eastAsia" w:ascii="仿宋_GB2312" w:hAnsi="仿宋" w:eastAsia="仿宋_GB2312"/>
          <w:bCs/>
          <w:sz w:val="32"/>
          <w:szCs w:val="32"/>
        </w:rPr>
        <w:t>次会议批准的2025年全县社会保险基金收入预算51422万元，实际完成62744万元，为预算的122%，增长22%。支出预算为53845万元，实际完成60566万元，为预算的112%，增长12%。</w:t>
      </w:r>
      <w:r>
        <w:rPr>
          <w:rFonts w:hint="eastAsia" w:ascii="仿宋_GB2312" w:hAnsi="仿宋" w:eastAsia="仿宋_GB2312"/>
          <w:bCs/>
          <w:sz w:val="32"/>
          <w:szCs w:val="32"/>
          <w:highlight w:val="none"/>
          <w:lang w:eastAsia="zh-CN"/>
        </w:rPr>
        <w:t>（</w:t>
      </w:r>
      <w:r>
        <w:rPr>
          <w:rFonts w:hint="eastAsia" w:ascii="仿宋_GB2312" w:hAnsi="仿宋" w:eastAsia="仿宋_GB2312"/>
          <w:bCs/>
          <w:sz w:val="32"/>
          <w:szCs w:val="32"/>
          <w:highlight w:val="none"/>
          <w:lang w:val="en-US" w:eastAsia="zh-CN"/>
        </w:rPr>
        <w:t>详见附表三</w:t>
      </w:r>
      <w:r>
        <w:rPr>
          <w:rFonts w:hint="eastAsia" w:ascii="仿宋_GB2312" w:hAnsi="仿宋" w:eastAsia="仿宋_GB2312"/>
          <w:bCs/>
          <w:sz w:val="32"/>
          <w:szCs w:val="32"/>
          <w:highlight w:val="none"/>
          <w:lang w:eastAsia="zh-CN"/>
        </w:rPr>
        <w:t>）</w:t>
      </w:r>
    </w:p>
    <w:p w14:paraId="4E44686B">
      <w:pPr>
        <w:pStyle w:val="6"/>
        <w:keepNext w:val="0"/>
        <w:keepLines w:val="0"/>
        <w:pageBreakBefore w:val="0"/>
        <w:widowControl w:val="0"/>
        <w:kinsoku/>
        <w:wordWrap/>
        <w:overflowPunct w:val="0"/>
        <w:topLinePunct w:val="0"/>
        <w:bidi w:val="0"/>
        <w:adjustRightInd w:val="0"/>
        <w:snapToGrid w:val="0"/>
        <w:spacing w:line="560" w:lineRule="exact"/>
        <w:ind w:firstLine="643"/>
        <w:textAlignment w:val="auto"/>
        <w:rPr>
          <w:rFonts w:hint="eastAsia" w:ascii="仿宋_GB2312" w:hAnsi="仿宋" w:eastAsia="仿宋_GB2312"/>
          <w:b/>
          <w:bCs w:val="0"/>
          <w:sz w:val="32"/>
          <w:szCs w:val="32"/>
        </w:rPr>
      </w:pPr>
      <w:r>
        <w:rPr>
          <w:rFonts w:hint="eastAsia" w:ascii="仿宋_GB2312" w:hAnsi="仿宋" w:eastAsia="仿宋_GB2312"/>
          <w:b/>
          <w:bCs w:val="0"/>
          <w:sz w:val="32"/>
          <w:szCs w:val="32"/>
        </w:rPr>
        <w:t>4.国有资本经营预算</w:t>
      </w:r>
    </w:p>
    <w:p w14:paraId="562E5A42">
      <w:pPr>
        <w:pStyle w:val="6"/>
        <w:keepNext w:val="0"/>
        <w:keepLines w:val="0"/>
        <w:pageBreakBefore w:val="0"/>
        <w:widowControl w:val="0"/>
        <w:kinsoku/>
        <w:wordWrap/>
        <w:overflowPunct w:val="0"/>
        <w:topLinePunct w:val="0"/>
        <w:bidi w:val="0"/>
        <w:adjustRightInd w:val="0"/>
        <w:snapToGrid w:val="0"/>
        <w:spacing w:line="560" w:lineRule="exact"/>
        <w:ind w:firstLine="643"/>
        <w:textAlignment w:val="auto"/>
        <w:rPr>
          <w:rFonts w:hint="eastAsia" w:ascii="仿宋_GB2312" w:hAnsi="仿宋" w:eastAsia="仿宋_GB2312"/>
          <w:bCs/>
          <w:sz w:val="32"/>
          <w:szCs w:val="32"/>
          <w:highlight w:val="yellow"/>
          <w:lang w:eastAsia="zh-CN"/>
        </w:rPr>
      </w:pPr>
      <w:r>
        <w:rPr>
          <w:rFonts w:hint="eastAsia" w:ascii="仿宋_GB2312" w:hAnsi="仿宋" w:eastAsia="仿宋_GB2312"/>
          <w:bCs/>
          <w:sz w:val="32"/>
          <w:szCs w:val="32"/>
        </w:rPr>
        <w:t>2025年全县国有资本经营收入完成11000万元，</w:t>
      </w:r>
      <w:r>
        <w:rPr>
          <w:rFonts w:hint="eastAsia" w:ascii="仿宋_GB2312" w:hAnsi="仿宋" w:eastAsia="仿宋_GB2312"/>
          <w:bCs/>
          <w:sz w:val="32"/>
          <w:szCs w:val="32"/>
          <w:lang w:eastAsia="zh-CN"/>
        </w:rPr>
        <w:t>转移支付</w:t>
      </w:r>
      <w:r>
        <w:rPr>
          <w:rFonts w:hint="eastAsia" w:ascii="仿宋_GB2312" w:hAnsi="仿宋" w:eastAsia="仿宋_GB2312"/>
          <w:bCs/>
          <w:sz w:val="32"/>
          <w:szCs w:val="32"/>
        </w:rPr>
        <w:t>收入20万元，收入合计11020万元，调入一般公共预算11000万元。支出预算调整为20万元，实际完成20万元。</w:t>
      </w:r>
      <w:r>
        <w:rPr>
          <w:rFonts w:hint="eastAsia" w:ascii="仿宋_GB2312" w:hAnsi="仿宋" w:eastAsia="仿宋_GB2312"/>
          <w:bCs/>
          <w:sz w:val="32"/>
          <w:szCs w:val="32"/>
          <w:highlight w:val="none"/>
          <w:lang w:eastAsia="zh-CN"/>
        </w:rPr>
        <w:t>（</w:t>
      </w:r>
      <w:r>
        <w:rPr>
          <w:rFonts w:hint="eastAsia" w:ascii="仿宋_GB2312" w:hAnsi="仿宋" w:eastAsia="仿宋_GB2312"/>
          <w:bCs/>
          <w:sz w:val="32"/>
          <w:szCs w:val="32"/>
          <w:highlight w:val="none"/>
          <w:lang w:val="en-US" w:eastAsia="zh-CN"/>
        </w:rPr>
        <w:t>详见附表四</w:t>
      </w:r>
      <w:r>
        <w:rPr>
          <w:rFonts w:hint="eastAsia" w:ascii="仿宋_GB2312" w:hAnsi="仿宋" w:eastAsia="仿宋_GB2312"/>
          <w:bCs/>
          <w:sz w:val="32"/>
          <w:szCs w:val="32"/>
          <w:highlight w:val="none"/>
          <w:lang w:eastAsia="zh-CN"/>
        </w:rPr>
        <w:t>）</w:t>
      </w:r>
    </w:p>
    <w:p w14:paraId="76E53920">
      <w:pPr>
        <w:keepNext w:val="0"/>
        <w:keepLines w:val="0"/>
        <w:pageBreakBefore w:val="0"/>
        <w:widowControl w:val="0"/>
        <w:kinsoku/>
        <w:wordWrap/>
        <w:overflowPunct w:val="0"/>
        <w:topLinePunct w:val="0"/>
        <w:bidi w:val="0"/>
        <w:adjustRightInd w:val="0"/>
        <w:snapToGrid w:val="0"/>
        <w:spacing w:line="560" w:lineRule="exact"/>
        <w:ind w:firstLine="643" w:firstLineChars="200"/>
        <w:textAlignment w:val="auto"/>
        <w:rPr>
          <w:rFonts w:ascii="仿宋_GB2312" w:hAnsi="仿宋" w:eastAsia="仿宋_GB2312"/>
          <w:b/>
          <w:bCs/>
          <w:kern w:val="0"/>
          <w:sz w:val="32"/>
          <w:szCs w:val="32"/>
        </w:rPr>
      </w:pPr>
      <w:r>
        <w:rPr>
          <w:rFonts w:ascii="仿宋_GB2312" w:hAnsi="仿宋" w:eastAsia="仿宋_GB2312"/>
          <w:b/>
          <w:bCs/>
          <w:kern w:val="0"/>
          <w:sz w:val="32"/>
          <w:szCs w:val="32"/>
        </w:rPr>
        <w:t>5.</w:t>
      </w:r>
      <w:r>
        <w:rPr>
          <w:rFonts w:hint="eastAsia" w:ascii="仿宋_GB2312" w:hAnsi="仿宋" w:eastAsia="仿宋_GB2312"/>
          <w:b/>
          <w:bCs/>
          <w:kern w:val="0"/>
          <w:sz w:val="32"/>
          <w:szCs w:val="32"/>
        </w:rPr>
        <w:t>政府债务情况</w:t>
      </w:r>
    </w:p>
    <w:p w14:paraId="6D2FDEA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contextualSpacing/>
        <w:textAlignment w:val="auto"/>
        <w:rPr>
          <w:rFonts w:hint="eastAsia" w:ascii="仿宋_GB2312" w:hAnsi="仿宋_GB2312" w:eastAsia="仿宋_GB2312" w:cs="仿宋_GB2312"/>
          <w:kern w:val="0"/>
          <w:sz w:val="32"/>
          <w:szCs w:val="32"/>
          <w:highlight w:val="red"/>
        </w:rPr>
      </w:pPr>
      <w:r>
        <w:rPr>
          <w:rFonts w:hint="eastAsia" w:ascii="仿宋_GB2312" w:hAnsi="等线" w:eastAsia="仿宋_GB2312"/>
          <w:sz w:val="32"/>
          <w:szCs w:val="32"/>
        </w:rPr>
        <w:t>2</w:t>
      </w:r>
      <w:r>
        <w:rPr>
          <w:rFonts w:hint="eastAsia" w:ascii="仿宋_GB2312" w:hAnsi="等线" w:eastAsia="仿宋_GB2312"/>
          <w:color w:val="auto"/>
          <w:sz w:val="32"/>
          <w:szCs w:val="32"/>
        </w:rPr>
        <w:t>02</w:t>
      </w:r>
      <w:r>
        <w:rPr>
          <w:rFonts w:hint="eastAsia" w:ascii="仿宋_GB2312" w:hAnsi="等线" w:eastAsia="仿宋_GB2312"/>
          <w:color w:val="auto"/>
          <w:sz w:val="32"/>
          <w:szCs w:val="32"/>
          <w:lang w:val="en-US" w:eastAsia="zh-CN"/>
        </w:rPr>
        <w:t>5</w:t>
      </w:r>
      <w:r>
        <w:rPr>
          <w:rFonts w:hint="eastAsia" w:ascii="仿宋_GB2312" w:hAnsi="等线" w:eastAsia="仿宋_GB2312"/>
          <w:color w:val="auto"/>
          <w:sz w:val="32"/>
          <w:szCs w:val="32"/>
        </w:rPr>
        <w:t>年</w:t>
      </w:r>
      <w:r>
        <w:rPr>
          <w:rFonts w:hint="eastAsia" w:ascii="仿宋_GB2312" w:eastAsia="仿宋_GB2312"/>
          <w:color w:val="auto"/>
          <w:sz w:val="32"/>
          <w:szCs w:val="32"/>
          <w:lang w:eastAsia="zh-CN"/>
        </w:rPr>
        <w:t>，</w:t>
      </w:r>
      <w:r>
        <w:rPr>
          <w:rFonts w:hint="eastAsia" w:ascii="仿宋_GB2312" w:hAnsi="等线" w:eastAsia="仿宋_GB2312"/>
          <w:color w:val="auto"/>
          <w:sz w:val="32"/>
          <w:szCs w:val="32"/>
        </w:rPr>
        <w:t>共争取</w:t>
      </w:r>
      <w:r>
        <w:rPr>
          <w:rFonts w:hint="eastAsia" w:ascii="仿宋_GB2312" w:eastAsia="仿宋_GB2312"/>
          <w:color w:val="auto"/>
          <w:sz w:val="32"/>
          <w:szCs w:val="32"/>
          <w:lang w:val="en-US" w:eastAsia="zh-CN"/>
        </w:rPr>
        <w:t>政府</w:t>
      </w:r>
      <w:r>
        <w:rPr>
          <w:rFonts w:hint="eastAsia" w:ascii="仿宋_GB2312" w:hAnsi="等线" w:eastAsia="仿宋_GB2312"/>
          <w:color w:val="auto"/>
          <w:sz w:val="32"/>
          <w:szCs w:val="32"/>
        </w:rPr>
        <w:t>债券</w:t>
      </w:r>
      <w:r>
        <w:rPr>
          <w:rFonts w:hint="eastAsia" w:ascii="仿宋_GB2312" w:hAnsi="等线" w:eastAsia="仿宋_GB2312"/>
          <w:color w:val="auto"/>
          <w:sz w:val="32"/>
          <w:szCs w:val="32"/>
          <w:highlight w:val="none"/>
          <w:lang w:val="en-US" w:eastAsia="zh-CN"/>
        </w:rPr>
        <w:t>8.98</w:t>
      </w:r>
      <w:r>
        <w:rPr>
          <w:rFonts w:hint="eastAsia" w:ascii="仿宋_GB2312" w:hAnsi="等线" w:eastAsia="仿宋_GB2312"/>
          <w:color w:val="auto"/>
          <w:sz w:val="32"/>
          <w:szCs w:val="32"/>
        </w:rPr>
        <w:t>亿元，其中</w:t>
      </w:r>
      <w:r>
        <w:rPr>
          <w:rFonts w:hint="eastAsia" w:ascii="仿宋_GB2312" w:hAnsi="等线" w:eastAsia="仿宋_GB2312"/>
          <w:color w:val="auto"/>
          <w:sz w:val="32"/>
          <w:szCs w:val="32"/>
          <w:lang w:eastAsia="zh-CN"/>
        </w:rPr>
        <w:t>：</w:t>
      </w:r>
      <w:r>
        <w:rPr>
          <w:rFonts w:hint="eastAsia" w:ascii="仿宋_GB2312" w:hAnsi="等线" w:eastAsia="仿宋_GB2312"/>
          <w:color w:val="auto"/>
          <w:sz w:val="32"/>
          <w:szCs w:val="32"/>
          <w:lang w:val="en-US" w:eastAsia="zh-CN"/>
        </w:rPr>
        <w:t>用于项目建设</w:t>
      </w:r>
      <w:r>
        <w:rPr>
          <w:rFonts w:hint="eastAsia" w:ascii="仿宋_GB2312" w:hAnsi="等线" w:eastAsia="仿宋_GB2312"/>
          <w:color w:val="auto"/>
          <w:sz w:val="32"/>
          <w:szCs w:val="32"/>
        </w:rPr>
        <w:t>新增专项债券资金</w:t>
      </w:r>
      <w:r>
        <w:rPr>
          <w:rFonts w:hint="eastAsia" w:ascii="仿宋_GB2312" w:hAnsi="等线" w:eastAsia="仿宋_GB2312"/>
          <w:color w:val="auto"/>
          <w:sz w:val="32"/>
          <w:szCs w:val="32"/>
          <w:lang w:val="en-US" w:eastAsia="zh-CN"/>
        </w:rPr>
        <w:t>5.63</w:t>
      </w:r>
      <w:r>
        <w:rPr>
          <w:rFonts w:hint="eastAsia" w:ascii="仿宋_GB2312" w:hAnsi="等线" w:eastAsia="仿宋_GB2312"/>
          <w:color w:val="auto"/>
          <w:sz w:val="32"/>
          <w:szCs w:val="32"/>
        </w:rPr>
        <w:t>亿元</w:t>
      </w:r>
      <w:r>
        <w:rPr>
          <w:rFonts w:hint="eastAsia" w:ascii="仿宋_GB2312" w:hAnsi="等线" w:eastAsia="仿宋_GB2312"/>
          <w:color w:val="auto"/>
          <w:sz w:val="32"/>
          <w:szCs w:val="32"/>
          <w:lang w:eastAsia="zh-CN"/>
        </w:rPr>
        <w:t>，</w:t>
      </w:r>
      <w:r>
        <w:rPr>
          <w:rFonts w:hint="eastAsia" w:ascii="仿宋_GB2312" w:hAnsi="仿宋_GB2312" w:eastAsia="仿宋_GB2312" w:cs="仿宋_GB2312"/>
          <w:sz w:val="32"/>
          <w:szCs w:val="32"/>
          <w:lang w:val="en-US" w:eastAsia="zh-CN"/>
        </w:rPr>
        <w:t>再融资专项债券资金1.5亿元，补充政府基金财力专项债券</w:t>
      </w:r>
      <w:r>
        <w:rPr>
          <w:rFonts w:hint="eastAsia" w:ascii="仿宋_GB2312" w:hAnsi="等线" w:eastAsia="仿宋_GB2312"/>
          <w:color w:val="auto"/>
          <w:sz w:val="32"/>
          <w:szCs w:val="32"/>
        </w:rPr>
        <w:t>资金</w:t>
      </w:r>
      <w:r>
        <w:rPr>
          <w:rFonts w:hint="eastAsia" w:ascii="仿宋_GB2312" w:hAnsi="等线" w:eastAsia="仿宋_GB2312"/>
          <w:color w:val="auto"/>
          <w:sz w:val="32"/>
          <w:szCs w:val="32"/>
          <w:lang w:val="en-US" w:eastAsia="zh-CN"/>
        </w:rPr>
        <w:t>1.39亿元，用于清偿拖欠企业账款专项债券资金0.46亿元。</w:t>
      </w:r>
    </w:p>
    <w:p w14:paraId="2BF99233">
      <w:pPr>
        <w:keepNext w:val="0"/>
        <w:keepLines w:val="0"/>
        <w:pageBreakBefore w:val="0"/>
        <w:widowControl w:val="0"/>
        <w:tabs>
          <w:tab w:val="left" w:pos="1080"/>
        </w:tabs>
        <w:kinsoku/>
        <w:wordWrap/>
        <w:overflowPunct w:val="0"/>
        <w:topLinePunct w:val="0"/>
        <w:bidi w:val="0"/>
        <w:adjustRightInd w:val="0"/>
        <w:snapToGrid w:val="0"/>
        <w:spacing w:line="560" w:lineRule="exact"/>
        <w:ind w:firstLine="640" w:firstLineChars="200"/>
        <w:textAlignment w:val="auto"/>
        <w:rPr>
          <w:rFonts w:ascii="仿宋_GB2312" w:hAnsi="仿宋_GB2312" w:eastAsia="仿宋_GB2312" w:cs="仿宋_GB2312"/>
          <w:kern w:val="0"/>
          <w:sz w:val="32"/>
          <w:szCs w:val="32"/>
          <w:highlight w:val="red"/>
        </w:rPr>
      </w:pPr>
      <w:r>
        <w:rPr>
          <w:rFonts w:hint="eastAsia" w:ascii="仿宋_GB2312" w:hAnsi="等线" w:eastAsia="仿宋_GB2312"/>
          <w:color w:val="auto"/>
          <w:sz w:val="32"/>
          <w:szCs w:val="32"/>
        </w:rPr>
        <w:t>202</w:t>
      </w:r>
      <w:r>
        <w:rPr>
          <w:rFonts w:hint="eastAsia" w:ascii="仿宋_GB2312" w:hAnsi="等线" w:eastAsia="仿宋_GB2312"/>
          <w:color w:val="auto"/>
          <w:sz w:val="32"/>
          <w:szCs w:val="32"/>
          <w:lang w:val="en-US" w:eastAsia="zh-CN"/>
        </w:rPr>
        <w:t>5</w:t>
      </w:r>
      <w:r>
        <w:rPr>
          <w:rFonts w:hint="eastAsia" w:ascii="仿宋_GB2312" w:hAnsi="等线" w:eastAsia="仿宋_GB2312"/>
          <w:color w:val="auto"/>
          <w:sz w:val="32"/>
          <w:szCs w:val="32"/>
        </w:rPr>
        <w:t>年</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我</w:t>
      </w:r>
      <w:r>
        <w:rPr>
          <w:rFonts w:hint="eastAsia" w:ascii="仿宋_GB2312" w:hAnsi="等线" w:eastAsia="仿宋_GB2312"/>
          <w:color w:val="auto"/>
          <w:sz w:val="32"/>
          <w:szCs w:val="32"/>
        </w:rPr>
        <w:t>县</w:t>
      </w:r>
      <w:r>
        <w:rPr>
          <w:rFonts w:ascii="仿宋_GB2312" w:hAnsi="等线" w:eastAsia="仿宋_GB2312"/>
          <w:color w:val="auto"/>
          <w:sz w:val="32"/>
          <w:szCs w:val="32"/>
        </w:rPr>
        <w:t>政府债券还本付息</w:t>
      </w:r>
      <w:r>
        <w:rPr>
          <w:rFonts w:hint="eastAsia" w:ascii="仿宋_GB2312" w:hAnsi="等线" w:eastAsia="仿宋_GB2312"/>
          <w:color w:val="auto"/>
          <w:sz w:val="32"/>
          <w:szCs w:val="32"/>
          <w:lang w:val="en-US" w:eastAsia="zh-CN"/>
        </w:rPr>
        <w:t>4.63</w:t>
      </w:r>
      <w:r>
        <w:rPr>
          <w:rFonts w:hint="eastAsia" w:ascii="仿宋_GB2312" w:hAnsi="等线" w:eastAsia="仿宋_GB2312"/>
          <w:color w:val="auto"/>
          <w:sz w:val="32"/>
          <w:szCs w:val="32"/>
        </w:rPr>
        <w:t>亿元，其中</w:t>
      </w:r>
      <w:r>
        <w:rPr>
          <w:rFonts w:hint="eastAsia" w:ascii="仿宋_GB2312" w:eastAsia="仿宋_GB2312"/>
          <w:color w:val="auto"/>
          <w:sz w:val="32"/>
          <w:szCs w:val="32"/>
          <w:lang w:eastAsia="zh-CN"/>
        </w:rPr>
        <w:t>：</w:t>
      </w:r>
      <w:r>
        <w:rPr>
          <w:rFonts w:hint="eastAsia" w:ascii="仿宋_GB2312" w:hAnsi="仿宋_GB2312" w:eastAsia="仿宋_GB2312" w:cs="仿宋_GB2312"/>
          <w:kern w:val="0"/>
          <w:sz w:val="32"/>
          <w:szCs w:val="32"/>
          <w:highlight w:val="none"/>
        </w:rPr>
        <w:t>还本</w:t>
      </w:r>
      <w:r>
        <w:rPr>
          <w:rFonts w:hint="eastAsia" w:ascii="仿宋_GB2312" w:hAnsi="等线" w:eastAsia="仿宋_GB2312"/>
          <w:color w:val="auto"/>
          <w:sz w:val="32"/>
          <w:szCs w:val="32"/>
          <w:lang w:val="en-US" w:eastAsia="zh-CN"/>
        </w:rPr>
        <w:t>2.35</w:t>
      </w:r>
      <w:r>
        <w:rPr>
          <w:rFonts w:hint="eastAsia" w:ascii="仿宋_GB2312" w:hAnsi="等线" w:eastAsia="仿宋_GB2312"/>
          <w:color w:val="auto"/>
          <w:sz w:val="32"/>
          <w:szCs w:val="32"/>
        </w:rPr>
        <w:t>亿元，</w:t>
      </w:r>
      <w:r>
        <w:rPr>
          <w:rFonts w:hint="eastAsia" w:ascii="仿宋_GB2312" w:hAnsi="仿宋_GB2312" w:eastAsia="仿宋_GB2312" w:cs="仿宋_GB2312"/>
          <w:kern w:val="0"/>
          <w:sz w:val="32"/>
          <w:szCs w:val="32"/>
          <w:highlight w:val="none"/>
        </w:rPr>
        <w:t>付息</w:t>
      </w:r>
      <w:r>
        <w:rPr>
          <w:rFonts w:hint="eastAsia" w:ascii="仿宋_GB2312" w:hAnsi="等线" w:eastAsia="仿宋_GB2312"/>
          <w:color w:val="auto"/>
          <w:sz w:val="32"/>
          <w:szCs w:val="32"/>
          <w:highlight w:val="none"/>
          <w:lang w:val="en-US" w:eastAsia="zh-CN"/>
        </w:rPr>
        <w:t>2</w:t>
      </w:r>
      <w:r>
        <w:rPr>
          <w:rFonts w:hint="eastAsia" w:ascii="仿宋_GB2312" w:hAnsi="等线" w:eastAsia="仿宋_GB2312"/>
          <w:color w:val="auto"/>
          <w:sz w:val="32"/>
          <w:szCs w:val="32"/>
          <w:lang w:val="en-US" w:eastAsia="zh-CN"/>
        </w:rPr>
        <w:t>.28</w:t>
      </w:r>
      <w:r>
        <w:rPr>
          <w:rFonts w:hint="eastAsia" w:ascii="仿宋_GB2312" w:hAnsi="等线" w:eastAsia="仿宋_GB2312"/>
          <w:color w:val="auto"/>
          <w:sz w:val="32"/>
          <w:szCs w:val="32"/>
        </w:rPr>
        <w:t>亿元。</w:t>
      </w:r>
    </w:p>
    <w:p w14:paraId="5EC3DE87">
      <w:pPr>
        <w:keepNext w:val="0"/>
        <w:keepLines w:val="0"/>
        <w:pageBreakBefore w:val="0"/>
        <w:widowControl w:val="0"/>
        <w:tabs>
          <w:tab w:val="left" w:pos="1080"/>
        </w:tabs>
        <w:kinsoku/>
        <w:wordWrap/>
        <w:overflowPunct w:val="0"/>
        <w:topLinePunct w:val="0"/>
        <w:bidi w:val="0"/>
        <w:adjustRightInd w:val="0"/>
        <w:snapToGrid w:val="0"/>
        <w:spacing w:line="560" w:lineRule="exact"/>
        <w:ind w:firstLine="640" w:firstLineChars="200"/>
        <w:textAlignment w:val="auto"/>
        <w:rPr>
          <w:rFonts w:hint="eastAsia" w:ascii="仿宋_GB2312" w:hAnsi="仿宋_GB2312" w:eastAsia="仿宋_GB2312" w:cs="仿宋_GB2312"/>
          <w:kern w:val="0"/>
          <w:sz w:val="32"/>
          <w:szCs w:val="32"/>
          <w:highlight w:val="red"/>
          <w:lang w:eastAsia="zh-CN"/>
        </w:rPr>
      </w:pPr>
      <w:r>
        <w:rPr>
          <w:rFonts w:hint="eastAsia" w:ascii="仿宋_GB2312" w:hAnsi="等线" w:eastAsia="仿宋_GB2312"/>
          <w:sz w:val="32"/>
          <w:szCs w:val="32"/>
          <w:highlight w:val="none"/>
        </w:rPr>
        <w:t>截止20</w:t>
      </w:r>
      <w:r>
        <w:rPr>
          <w:rFonts w:hint="eastAsia" w:ascii="仿宋_GB2312" w:hAnsi="等线" w:eastAsia="仿宋_GB2312"/>
          <w:sz w:val="32"/>
          <w:szCs w:val="32"/>
          <w:highlight w:val="none"/>
          <w:lang w:val="en-US" w:eastAsia="zh-CN"/>
        </w:rPr>
        <w:t>25年</w:t>
      </w:r>
      <w:r>
        <w:rPr>
          <w:rFonts w:hint="eastAsia" w:ascii="仿宋_GB2312" w:eastAsia="仿宋_GB2312"/>
          <w:sz w:val="32"/>
          <w:szCs w:val="32"/>
          <w:highlight w:val="none"/>
          <w:lang w:val="en-US" w:eastAsia="zh-CN"/>
        </w:rPr>
        <w:t>底</w:t>
      </w:r>
      <w:r>
        <w:rPr>
          <w:rFonts w:hint="eastAsia" w:ascii="仿宋_GB2312" w:hAnsi="等线" w:eastAsia="仿宋_GB2312"/>
          <w:sz w:val="32"/>
          <w:szCs w:val="32"/>
          <w:highlight w:val="none"/>
        </w:rPr>
        <w:t>，</w:t>
      </w:r>
      <w:r>
        <w:rPr>
          <w:rFonts w:hint="eastAsia" w:ascii="仿宋_GB2312" w:eastAsia="仿宋_GB2312"/>
          <w:sz w:val="32"/>
          <w:szCs w:val="32"/>
          <w:highlight w:val="none"/>
          <w:lang w:val="en-US" w:eastAsia="zh-CN"/>
        </w:rPr>
        <w:t>全</w:t>
      </w:r>
      <w:r>
        <w:rPr>
          <w:rFonts w:hint="eastAsia" w:ascii="仿宋_GB2312" w:hAnsi="等线" w:eastAsia="仿宋_GB2312"/>
          <w:sz w:val="32"/>
          <w:szCs w:val="32"/>
          <w:highlight w:val="none"/>
        </w:rPr>
        <w:t>县政府债务余额</w:t>
      </w:r>
      <w:r>
        <w:rPr>
          <w:rFonts w:hint="eastAsia" w:ascii="仿宋_GB2312" w:hAnsi="等线" w:eastAsia="仿宋_GB2312"/>
          <w:color w:val="auto"/>
          <w:sz w:val="32"/>
          <w:szCs w:val="32"/>
          <w:highlight w:val="none"/>
          <w:lang w:val="en-US" w:eastAsia="zh-CN"/>
        </w:rPr>
        <w:t>82.15</w:t>
      </w:r>
      <w:r>
        <w:rPr>
          <w:rFonts w:hint="eastAsia" w:ascii="仿宋_GB2312" w:hAnsi="等线" w:eastAsia="仿宋_GB2312"/>
          <w:color w:val="auto"/>
          <w:sz w:val="32"/>
          <w:szCs w:val="32"/>
          <w:highlight w:val="none"/>
        </w:rPr>
        <w:t>亿元，其</w:t>
      </w:r>
      <w:r>
        <w:rPr>
          <w:rFonts w:hint="eastAsia" w:ascii="仿宋_GB2312" w:eastAsia="仿宋_GB2312"/>
          <w:color w:val="auto"/>
          <w:sz w:val="32"/>
          <w:szCs w:val="32"/>
          <w:highlight w:val="none"/>
        </w:rPr>
        <w:t>中</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一般债务余额</w:t>
      </w:r>
      <w:r>
        <w:rPr>
          <w:rFonts w:hint="eastAsia" w:ascii="仿宋_GB2312" w:eastAsia="仿宋_GB2312"/>
          <w:color w:val="auto"/>
          <w:sz w:val="32"/>
          <w:szCs w:val="32"/>
          <w:highlight w:val="none"/>
          <w:lang w:val="en-US" w:eastAsia="zh-CN"/>
        </w:rPr>
        <w:t>16.9</w:t>
      </w:r>
      <w:r>
        <w:rPr>
          <w:rFonts w:hint="eastAsia" w:ascii="仿宋_GB2312" w:eastAsia="仿宋_GB2312"/>
          <w:color w:val="auto"/>
          <w:sz w:val="32"/>
          <w:szCs w:val="32"/>
          <w:highlight w:val="none"/>
        </w:rPr>
        <w:t>亿元，专项债务余额</w:t>
      </w:r>
      <w:r>
        <w:rPr>
          <w:rFonts w:hint="eastAsia" w:ascii="仿宋_GB2312" w:eastAsia="仿宋_GB2312"/>
          <w:color w:val="auto"/>
          <w:sz w:val="32"/>
          <w:szCs w:val="32"/>
          <w:highlight w:val="none"/>
          <w:lang w:val="en-US" w:eastAsia="zh-CN"/>
        </w:rPr>
        <w:t>65.25</w:t>
      </w:r>
      <w:r>
        <w:rPr>
          <w:rFonts w:hint="eastAsia" w:ascii="仿宋_GB2312" w:eastAsia="仿宋_GB2312"/>
          <w:sz w:val="32"/>
          <w:szCs w:val="32"/>
          <w:highlight w:val="none"/>
        </w:rPr>
        <w:t>亿元</w:t>
      </w:r>
      <w:r>
        <w:rPr>
          <w:rFonts w:hint="eastAsia" w:ascii="仿宋_GB2312" w:hAnsi="仿宋_GB2312" w:eastAsia="仿宋_GB2312" w:cs="仿宋_GB2312"/>
          <w:kern w:val="0"/>
          <w:sz w:val="32"/>
          <w:szCs w:val="32"/>
          <w:highlight w:val="none"/>
        </w:rPr>
        <w:t>。整体风险可控。</w:t>
      </w:r>
    </w:p>
    <w:p w14:paraId="47FAA642">
      <w:pPr>
        <w:keepNext w:val="0"/>
        <w:keepLines w:val="0"/>
        <w:pageBreakBefore w:val="0"/>
        <w:widowControl w:val="0"/>
        <w:tabs>
          <w:tab w:val="left" w:pos="1080"/>
        </w:tabs>
        <w:kinsoku/>
        <w:wordWrap/>
        <w:overflowPunct w:val="0"/>
        <w:topLinePunct w:val="0"/>
        <w:bidi w:val="0"/>
        <w:adjustRightInd w:val="0"/>
        <w:snapToGrid w:val="0"/>
        <w:spacing w:line="560" w:lineRule="exact"/>
        <w:ind w:firstLine="643" w:firstLineChars="200"/>
        <w:textAlignment w:val="auto"/>
        <w:rPr>
          <w:rFonts w:ascii="楷体_GB2312" w:hAnsi="仿宋" w:eastAsia="楷体_GB2312"/>
          <w:b/>
          <w:kern w:val="0"/>
          <w:sz w:val="32"/>
          <w:szCs w:val="32"/>
          <w:highlight w:val="none"/>
        </w:rPr>
      </w:pPr>
      <w:r>
        <w:rPr>
          <w:rFonts w:hint="eastAsia" w:ascii="楷体_GB2312" w:hAnsi="仿宋" w:eastAsia="楷体_GB2312"/>
          <w:b/>
          <w:kern w:val="0"/>
          <w:sz w:val="32"/>
          <w:szCs w:val="32"/>
          <w:highlight w:val="none"/>
        </w:rPr>
        <w:t>（二）财政工作</w:t>
      </w:r>
      <w:r>
        <w:rPr>
          <w:rFonts w:hint="eastAsia" w:ascii="楷体_GB2312" w:hAnsi="仿宋" w:eastAsia="楷体_GB2312"/>
          <w:b/>
          <w:kern w:val="0"/>
          <w:sz w:val="32"/>
          <w:szCs w:val="32"/>
          <w:highlight w:val="none"/>
          <w:lang w:eastAsia="zh-CN"/>
        </w:rPr>
        <w:t>落实</w:t>
      </w:r>
      <w:r>
        <w:rPr>
          <w:rFonts w:hint="eastAsia" w:ascii="楷体_GB2312" w:hAnsi="仿宋" w:eastAsia="楷体_GB2312"/>
          <w:b/>
          <w:kern w:val="0"/>
          <w:sz w:val="32"/>
          <w:szCs w:val="32"/>
          <w:highlight w:val="none"/>
        </w:rPr>
        <w:t>情况</w:t>
      </w:r>
    </w:p>
    <w:p w14:paraId="1F9FBED4">
      <w:pPr>
        <w:keepNext w:val="0"/>
        <w:keepLines w:val="0"/>
        <w:pageBreakBefore w:val="0"/>
        <w:widowControl w:val="0"/>
        <w:kinsoku/>
        <w:wordWrap/>
        <w:overflowPunct w:val="0"/>
        <w:topLinePunct w:val="0"/>
        <w:bidi w:val="0"/>
        <w:adjustRightInd w:val="0"/>
        <w:snapToGrid w:val="0"/>
        <w:spacing w:line="560" w:lineRule="exact"/>
        <w:ind w:firstLine="640" w:firstLineChars="200"/>
        <w:textAlignment w:val="auto"/>
        <w:rPr>
          <w:rFonts w:ascii="仿宋_GB2312" w:hAnsi="仿宋" w:eastAsia="仿宋_GB2312"/>
          <w:kern w:val="0"/>
          <w:sz w:val="32"/>
          <w:szCs w:val="32"/>
        </w:rPr>
      </w:pPr>
      <w:r>
        <w:rPr>
          <w:rFonts w:hint="eastAsia" w:ascii="仿宋_GB2312" w:hAnsi="仿宋_GB2312" w:eastAsia="仿宋_GB2312" w:cs="仿宋_GB2312"/>
          <w:sz w:val="32"/>
          <w:szCs w:val="32"/>
        </w:rPr>
        <w:t>加强财政科学管理，强化重点领域保障，有力有效防范化解风险，为全</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经济高质量发展提供较好保障。</w:t>
      </w:r>
    </w:p>
    <w:p w14:paraId="5A8904AF">
      <w:pPr>
        <w:keepNext w:val="0"/>
        <w:keepLines w:val="0"/>
        <w:pageBreakBefore w:val="0"/>
        <w:widowControl w:val="0"/>
        <w:kinsoku/>
        <w:wordWrap/>
        <w:overflowPunct w:val="0"/>
        <w:topLinePunct w:val="0"/>
        <w:bidi w:val="0"/>
        <w:adjustRightInd w:val="0"/>
        <w:snapToGrid w:val="0"/>
        <w:spacing w:line="560" w:lineRule="exact"/>
        <w:ind w:firstLine="643" w:firstLineChars="200"/>
        <w:textAlignment w:val="auto"/>
        <w:rPr>
          <w:rFonts w:hint="eastAsia" w:ascii="仿宋_GB2312" w:hAnsi="仿宋" w:eastAsia="仿宋_GB2312" w:cs="仿宋"/>
          <w:kern w:val="0"/>
          <w:sz w:val="32"/>
          <w:szCs w:val="32"/>
          <w:highlight w:val="none"/>
        </w:rPr>
      </w:pPr>
      <w:r>
        <w:rPr>
          <w:rFonts w:hint="eastAsia" w:ascii="仿宋_GB2312" w:hAnsi="仿宋_GB2312" w:eastAsia="仿宋_GB2312" w:cs="仿宋_GB2312"/>
          <w:b/>
          <w:bCs/>
          <w:kern w:val="0"/>
          <w:sz w:val="32"/>
          <w:szCs w:val="32"/>
          <w:highlight w:val="none"/>
        </w:rPr>
        <w:t>1.</w:t>
      </w:r>
      <w:r>
        <w:rPr>
          <w:rFonts w:hint="eastAsia" w:ascii="仿宋_GB2312" w:hAnsi="仿宋_GB2312" w:eastAsia="仿宋_GB2312" w:cs="仿宋_GB2312"/>
          <w:b/>
          <w:bCs/>
          <w:sz w:val="32"/>
          <w:szCs w:val="40"/>
        </w:rPr>
        <w:t>落实积极财政政策</w:t>
      </w:r>
      <w:r>
        <w:rPr>
          <w:rFonts w:hint="eastAsia" w:ascii="仿宋_GB2312" w:hAnsi="仿宋_GB2312" w:eastAsia="仿宋_GB2312" w:cs="仿宋_GB2312"/>
          <w:b/>
          <w:bCs/>
          <w:kern w:val="0"/>
          <w:sz w:val="32"/>
          <w:szCs w:val="32"/>
          <w:highlight w:val="none"/>
        </w:rPr>
        <w:t>推动经济积势蓄能。</w:t>
      </w:r>
      <w:r>
        <w:rPr>
          <w:rFonts w:hint="eastAsia" w:ascii="仿宋_GB2312" w:hAnsi="仿宋" w:eastAsia="仿宋_GB2312" w:cs="仿宋"/>
          <w:kern w:val="0"/>
          <w:sz w:val="32"/>
          <w:szCs w:val="32"/>
          <w:highlight w:val="none"/>
        </w:rPr>
        <w:t>坚持运用多种政策工具，着力促进经济稳进提升。从快落实增值税留抵退税政策，全县2025年新增减税降费及退税共计3533万元，为市场主体输血纾困、增添活力。深入落实国家一揽子政策特别是增量政策，</w:t>
      </w:r>
      <w:r>
        <w:rPr>
          <w:rFonts w:hint="eastAsia" w:ascii="仿宋_GB2312" w:hAnsi="仿宋_GB2312" w:eastAsia="仿宋_GB2312" w:cs="仿宋_GB2312"/>
          <w:sz w:val="32"/>
          <w:szCs w:val="32"/>
          <w:lang w:val="en-US" w:eastAsia="zh-CN"/>
        </w:rPr>
        <w:t>争取“两重”“两新”项目超长期特别国债资金1.75亿元，用于汉冶特钢、众德汽车设备改造等项目，助力产业升级与公共服务改善。落实国家“消费品以旧换新”惠民政策补贴。</w:t>
      </w:r>
      <w:r>
        <w:rPr>
          <w:rFonts w:hint="eastAsia" w:ascii="仿宋_GB2312" w:hAnsi="仿宋" w:eastAsia="仿宋_GB2312" w:cs="仿宋"/>
          <w:kern w:val="0"/>
          <w:sz w:val="32"/>
          <w:szCs w:val="32"/>
          <w:highlight w:val="none"/>
        </w:rPr>
        <w:t>推动</w:t>
      </w:r>
      <w:r>
        <w:rPr>
          <w:rFonts w:hint="eastAsia" w:ascii="仿宋_GB2312" w:hAnsi="仿宋_GB2312" w:eastAsia="仿宋_GB2312" w:cs="仿宋_GB2312"/>
          <w:sz w:val="32"/>
          <w:szCs w:val="32"/>
          <w:lang w:val="en-US" w:eastAsia="zh-CN"/>
        </w:rPr>
        <w:t>汽车、家电、3C数码、电动自行车等消费品以旧换新，有效激活消费市场，惠及群众1.5万人；</w:t>
      </w:r>
      <w:r>
        <w:rPr>
          <w:rFonts w:hint="eastAsia" w:ascii="仿宋_GB2312" w:hAnsi="仿宋" w:eastAsia="仿宋_GB2312" w:cs="仿宋"/>
          <w:kern w:val="0"/>
          <w:sz w:val="32"/>
          <w:szCs w:val="32"/>
          <w:highlight w:val="none"/>
        </w:rPr>
        <w:t>落实</w:t>
      </w:r>
      <w:r>
        <w:rPr>
          <w:rFonts w:hint="eastAsia" w:ascii="仿宋_GB2312" w:hAnsi="仿宋_GB2312" w:eastAsia="仿宋_GB2312" w:cs="仿宋_GB2312"/>
          <w:sz w:val="32"/>
          <w:szCs w:val="32"/>
          <w:lang w:val="en-US" w:eastAsia="zh-CN"/>
        </w:rPr>
        <w:t>省级制造业高质量发展专项资金、首套重大技术装备奖励、</w:t>
      </w:r>
      <w:r>
        <w:rPr>
          <w:rFonts w:hint="eastAsia" w:ascii="仿宋_GB2312" w:hAnsi="仿宋" w:eastAsia="仿宋_GB2312" w:cs="仿宋"/>
          <w:kern w:val="0"/>
          <w:sz w:val="32"/>
          <w:szCs w:val="32"/>
          <w:highlight w:val="none"/>
        </w:rPr>
        <w:t>专精特新小巨人企业、满负荷生产奖励资金</w:t>
      </w:r>
      <w:r>
        <w:rPr>
          <w:rFonts w:hint="eastAsia" w:ascii="仿宋_GB2312" w:hAnsi="仿宋_GB2312" w:eastAsia="仿宋_GB2312" w:cs="仿宋_GB2312"/>
          <w:sz w:val="32"/>
          <w:szCs w:val="32"/>
          <w:lang w:val="en-US" w:eastAsia="zh-CN"/>
        </w:rPr>
        <w:t>等2431万元。</w:t>
      </w:r>
    </w:p>
    <w:p w14:paraId="1C636E20">
      <w:pPr>
        <w:keepNext w:val="0"/>
        <w:keepLines w:val="0"/>
        <w:pageBreakBefore w:val="0"/>
        <w:widowControl w:val="0"/>
        <w:kinsoku/>
        <w:wordWrap/>
        <w:overflowPunct w:val="0"/>
        <w:topLinePunct w:val="0"/>
        <w:bidi w:val="0"/>
        <w:adjustRightInd w:val="0"/>
        <w:snapToGrid w:val="0"/>
        <w:spacing w:line="560" w:lineRule="exact"/>
        <w:ind w:firstLine="643" w:firstLineChars="200"/>
        <w:textAlignment w:val="auto"/>
        <w:rPr>
          <w:rFonts w:hint="eastAsia" w:ascii="仿宋_GB2312" w:hAnsi="仿宋_GB2312" w:eastAsia="仿宋_GB2312" w:cs="仿宋_GB2312"/>
          <w:b/>
          <w:bCs/>
          <w:kern w:val="0"/>
          <w:sz w:val="32"/>
          <w:szCs w:val="32"/>
          <w:lang w:val="en-US" w:eastAsia="zh-CN"/>
        </w:rPr>
      </w:pPr>
      <w:r>
        <w:rPr>
          <w:rFonts w:hint="eastAsia" w:ascii="仿宋_GB2312" w:hAnsi="仿宋_GB2312" w:eastAsia="仿宋_GB2312" w:cs="仿宋_GB2312"/>
          <w:b/>
          <w:bCs/>
          <w:kern w:val="0"/>
          <w:sz w:val="32"/>
          <w:szCs w:val="32"/>
          <w:highlight w:val="none"/>
        </w:rPr>
        <w:t>2.有效防范化解财政</w:t>
      </w:r>
      <w:r>
        <w:rPr>
          <w:rFonts w:hint="eastAsia" w:ascii="仿宋_GB2312" w:hAnsi="仿宋_GB2312" w:eastAsia="仿宋_GB2312" w:cs="仿宋_GB2312"/>
          <w:b/>
          <w:bCs/>
          <w:kern w:val="0"/>
          <w:sz w:val="32"/>
          <w:szCs w:val="32"/>
          <w:highlight w:val="none"/>
          <w:lang w:val="en-US" w:eastAsia="zh-CN"/>
        </w:rPr>
        <w:t>运行</w:t>
      </w:r>
      <w:r>
        <w:rPr>
          <w:rFonts w:hint="eastAsia" w:ascii="仿宋_GB2312" w:hAnsi="仿宋_GB2312" w:eastAsia="仿宋_GB2312" w:cs="仿宋_GB2312"/>
          <w:b/>
          <w:bCs/>
          <w:kern w:val="0"/>
          <w:sz w:val="32"/>
          <w:szCs w:val="32"/>
          <w:highlight w:val="none"/>
        </w:rPr>
        <w:t>风险。</w:t>
      </w:r>
      <w:r>
        <w:rPr>
          <w:rFonts w:hint="eastAsia" w:ascii="仿宋_GB2312" w:hAnsi="仿宋_GB2312" w:eastAsia="仿宋_GB2312" w:cs="仿宋_GB2312"/>
          <w:kern w:val="0"/>
          <w:sz w:val="32"/>
          <w:szCs w:val="32"/>
          <w:highlight w:val="none"/>
        </w:rPr>
        <w:t>坚持统筹发展和安全，着力守牢财政运行安全“底线”。落实中央有关基层“三保”各项要求，足额编列“三保”预算，精确“三保”标识，进一步确保基层财政平稳运行。在财政供养人员多、人均可用财力少的情况下，兜实兜牢了“三保”底线。</w:t>
      </w:r>
      <w:r>
        <w:rPr>
          <w:rFonts w:hint="eastAsia" w:ascii="仿宋_GB2312" w:hAnsi="仿宋_GB2312" w:eastAsia="仿宋_GB2312" w:cs="仿宋_GB2312"/>
          <w:kern w:val="0"/>
          <w:sz w:val="32"/>
          <w:szCs w:val="32"/>
          <w:highlight w:val="none"/>
          <w:lang w:val="en-US" w:eastAsia="zh-CN"/>
        </w:rPr>
        <w:t>全县人员工资、各单位运转、</w:t>
      </w:r>
      <w:r>
        <w:rPr>
          <w:rFonts w:hint="eastAsia" w:ascii="仿宋_GB2312" w:hAnsi="仿宋_GB2312" w:eastAsia="仿宋_GB2312" w:cs="仿宋_GB2312"/>
          <w:color w:val="auto"/>
          <w:kern w:val="0"/>
          <w:sz w:val="32"/>
          <w:szCs w:val="32"/>
          <w:highlight w:val="none"/>
          <w:lang w:val="en-US" w:eastAsia="zh-CN"/>
        </w:rPr>
        <w:t>基本民生得到</w:t>
      </w:r>
      <w:r>
        <w:rPr>
          <w:rFonts w:hint="eastAsia" w:ascii="仿宋_GB2312" w:hAnsi="仿宋_GB2312" w:eastAsia="仿宋_GB2312" w:cs="仿宋_GB2312"/>
          <w:kern w:val="0"/>
          <w:sz w:val="32"/>
          <w:szCs w:val="32"/>
          <w:highlight w:val="none"/>
          <w:lang w:val="en-US" w:eastAsia="zh-CN"/>
        </w:rPr>
        <w:t>有效保障，没有发生支付风险。全县偿还法定债务本息4.63亿元，化解隐性债务4.15亿元，有效维护了政府信用。按时</w:t>
      </w:r>
      <w:r>
        <w:rPr>
          <w:rFonts w:hint="eastAsia" w:ascii="仿宋_GB2312" w:hAnsi="仿宋_GB2312" w:eastAsia="仿宋_GB2312" w:cs="仿宋_GB2312"/>
          <w:sz w:val="32"/>
          <w:szCs w:val="40"/>
        </w:rPr>
        <w:t>完成</w:t>
      </w:r>
      <w:r>
        <w:rPr>
          <w:rFonts w:hint="eastAsia" w:ascii="仿宋_GB2312" w:hAnsi="仿宋_GB2312" w:eastAsia="仿宋_GB2312" w:cs="仿宋_GB2312"/>
          <w:sz w:val="32"/>
          <w:szCs w:val="40"/>
          <w:lang w:val="en-US" w:eastAsia="zh-CN"/>
        </w:rPr>
        <w:t>1</w:t>
      </w:r>
      <w:r>
        <w:rPr>
          <w:rFonts w:hint="eastAsia" w:ascii="仿宋_GB2312" w:hAnsi="仿宋_GB2312" w:eastAsia="仿宋_GB2312" w:cs="仿宋_GB2312"/>
          <w:sz w:val="32"/>
          <w:szCs w:val="40"/>
        </w:rPr>
        <w:t>家</w:t>
      </w:r>
      <w:r>
        <w:rPr>
          <w:rFonts w:hint="eastAsia" w:ascii="仿宋_GB2312" w:hAnsi="仿宋_GB2312" w:eastAsia="仿宋_GB2312" w:cs="仿宋_GB2312"/>
          <w:sz w:val="32"/>
          <w:szCs w:val="40"/>
          <w:lang w:val="en-US" w:eastAsia="zh-CN"/>
        </w:rPr>
        <w:t>融资</w:t>
      </w:r>
      <w:r>
        <w:rPr>
          <w:rFonts w:hint="eastAsia" w:ascii="仿宋_GB2312" w:hAnsi="仿宋_GB2312" w:eastAsia="仿宋_GB2312" w:cs="仿宋_GB2312"/>
          <w:sz w:val="32"/>
          <w:szCs w:val="40"/>
        </w:rPr>
        <w:t>平台退出任务</w:t>
      </w:r>
      <w:r>
        <w:rPr>
          <w:rFonts w:hint="eastAsia" w:ascii="仿宋_GB2312" w:hAnsi="仿宋_GB2312" w:eastAsia="仿宋_GB2312" w:cs="仿宋_GB2312"/>
          <w:sz w:val="32"/>
          <w:szCs w:val="40"/>
          <w:lang w:eastAsia="zh-CN"/>
        </w:rPr>
        <w:t>。</w:t>
      </w:r>
    </w:p>
    <w:p w14:paraId="75684EA2">
      <w:pPr>
        <w:keepNext w:val="0"/>
        <w:keepLines w:val="0"/>
        <w:pageBreakBefore w:val="0"/>
        <w:widowControl w:val="0"/>
        <w:kinsoku/>
        <w:wordWrap/>
        <w:overflowPunct w:val="0"/>
        <w:topLinePunct w:val="0"/>
        <w:bidi w:val="0"/>
        <w:adjustRightInd w:val="0"/>
        <w:snapToGrid w:val="0"/>
        <w:spacing w:line="560" w:lineRule="exact"/>
        <w:ind w:firstLine="643" w:firstLineChars="200"/>
        <w:textAlignment w:val="auto"/>
        <w:rPr>
          <w:rFonts w:hint="eastAsia" w:ascii="仿宋_GB2312" w:hAnsi="Times New Roman" w:eastAsia="仿宋_GB2312"/>
          <w:sz w:val="32"/>
          <w:szCs w:val="32"/>
        </w:rPr>
      </w:pPr>
      <w:r>
        <w:rPr>
          <w:rFonts w:hint="eastAsia" w:ascii="仿宋_GB2312" w:hAnsi="仿宋_GB2312" w:eastAsia="仿宋_GB2312" w:cs="仿宋_GB2312"/>
          <w:b/>
          <w:bCs/>
          <w:kern w:val="0"/>
          <w:sz w:val="32"/>
          <w:szCs w:val="32"/>
          <w:lang w:val="en-US" w:eastAsia="zh-CN"/>
        </w:rPr>
        <w:t>3</w:t>
      </w:r>
      <w:r>
        <w:rPr>
          <w:rFonts w:hint="eastAsia" w:ascii="仿宋_GB2312" w:hAnsi="仿宋_GB2312" w:eastAsia="仿宋_GB2312" w:cs="仿宋_GB2312"/>
          <w:b/>
          <w:bCs/>
          <w:kern w:val="0"/>
          <w:sz w:val="32"/>
          <w:szCs w:val="32"/>
        </w:rPr>
        <w:t>.</w:t>
      </w:r>
      <w:r>
        <w:rPr>
          <w:rFonts w:hint="eastAsia" w:ascii="仿宋_GB2312" w:hAnsi="仿宋_GB2312" w:eastAsia="仿宋_GB2312" w:cs="仿宋_GB2312"/>
          <w:b/>
          <w:bCs/>
          <w:kern w:val="0"/>
          <w:sz w:val="32"/>
          <w:szCs w:val="32"/>
          <w:lang w:val="en-US" w:eastAsia="zh-CN"/>
        </w:rPr>
        <w:t>支持</w:t>
      </w:r>
      <w:r>
        <w:rPr>
          <w:rFonts w:hint="eastAsia" w:ascii="仿宋_GB2312" w:hAnsi="仿宋_GB2312" w:eastAsia="仿宋_GB2312" w:cs="仿宋_GB2312"/>
          <w:b/>
          <w:bCs/>
          <w:kern w:val="0"/>
          <w:sz w:val="32"/>
          <w:szCs w:val="32"/>
        </w:rPr>
        <w:t>乡村全面振兴</w:t>
      </w:r>
      <w:r>
        <w:rPr>
          <w:rFonts w:hint="eastAsia" w:ascii="仿宋_GB2312" w:hAnsi="仿宋_GB2312" w:eastAsia="仿宋_GB2312" w:cs="仿宋_GB2312"/>
          <w:b/>
          <w:bCs/>
          <w:kern w:val="0"/>
          <w:sz w:val="32"/>
          <w:szCs w:val="32"/>
          <w:lang w:val="en-US" w:eastAsia="zh-CN"/>
        </w:rPr>
        <w:t>推进</w:t>
      </w:r>
      <w:r>
        <w:rPr>
          <w:rFonts w:hint="eastAsia" w:ascii="仿宋_GB2312" w:hAnsi="仿宋_GB2312" w:eastAsia="仿宋_GB2312" w:cs="仿宋_GB2312"/>
          <w:b/>
          <w:bCs/>
          <w:kern w:val="0"/>
          <w:sz w:val="32"/>
          <w:szCs w:val="32"/>
        </w:rPr>
        <w:t>农业农村现代化。</w:t>
      </w:r>
      <w:r>
        <w:rPr>
          <w:rFonts w:hint="eastAsia" w:ascii="仿宋_GB2312" w:hAnsi="仿宋_GB2312" w:eastAsia="仿宋_GB2312" w:cs="仿宋_GB2312"/>
          <w:kern w:val="0"/>
          <w:sz w:val="32"/>
          <w:szCs w:val="32"/>
        </w:rPr>
        <w:t>坚持加大财政支农保障力度</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全县农林水支出</w:t>
      </w:r>
      <w:r>
        <w:rPr>
          <w:rFonts w:hint="eastAsia" w:ascii="仿宋_GB2312" w:hAnsi="仿宋_GB2312" w:eastAsia="仿宋_GB2312" w:cs="仿宋_GB2312"/>
          <w:kern w:val="0"/>
          <w:sz w:val="32"/>
          <w:szCs w:val="32"/>
          <w:lang w:val="en-US" w:eastAsia="zh-CN"/>
        </w:rPr>
        <w:t>60095</w:t>
      </w:r>
      <w:r>
        <w:rPr>
          <w:rFonts w:hint="eastAsia" w:ascii="仿宋_GB2312" w:hAnsi="仿宋" w:eastAsia="仿宋_GB2312"/>
          <w:bCs/>
          <w:sz w:val="32"/>
          <w:szCs w:val="32"/>
        </w:rPr>
        <w:t>万元，</w:t>
      </w:r>
      <w:r>
        <w:rPr>
          <w:rFonts w:hint="eastAsia" w:ascii="仿宋_GB2312" w:hAnsi="仿宋_GB2312" w:eastAsia="仿宋_GB2312" w:cs="仿宋_GB2312"/>
          <w:sz w:val="32"/>
          <w:szCs w:val="40"/>
        </w:rPr>
        <w:t>促进农业增效益、农村增活力、农民增收入</w:t>
      </w:r>
      <w:r>
        <w:rPr>
          <w:rFonts w:hint="eastAsia" w:ascii="仿宋_GB2312" w:hAnsi="仿宋_GB2312" w:eastAsia="仿宋_GB2312" w:cs="仿宋_GB2312"/>
          <w:kern w:val="0"/>
          <w:sz w:val="32"/>
          <w:szCs w:val="32"/>
        </w:rPr>
        <w:t>。</w:t>
      </w:r>
      <w:r>
        <w:rPr>
          <w:rFonts w:hint="eastAsia" w:ascii="仿宋_GB2312" w:hAnsi="仿宋_GB2312" w:eastAsia="仿宋_GB2312" w:cs="仿宋_GB2312"/>
          <w:sz w:val="32"/>
          <w:szCs w:val="32"/>
          <w:lang w:val="en-US" w:eastAsia="zh-CN"/>
        </w:rPr>
        <w:t>拨付中省资金4443万元</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rPr>
        <w:t>支持巩固拓展脱贫攻坚成果同乡村振兴有效衔接</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争取</w:t>
      </w:r>
      <w:r>
        <w:rPr>
          <w:rFonts w:hint="eastAsia" w:ascii="仿宋_GB2312" w:hAnsi="仿宋_GB2312" w:eastAsia="仿宋_GB2312" w:cs="仿宋_GB2312"/>
          <w:sz w:val="32"/>
          <w:szCs w:val="32"/>
          <w:highlight w:val="none"/>
        </w:rPr>
        <w:t>上级专项资金</w:t>
      </w:r>
      <w:r>
        <w:rPr>
          <w:rFonts w:hint="eastAsia" w:ascii="仿宋_GB2312" w:hAnsi="仿宋_GB2312" w:eastAsia="仿宋_GB2312" w:cs="仿宋_GB2312"/>
          <w:sz w:val="32"/>
          <w:szCs w:val="32"/>
          <w:highlight w:val="none"/>
          <w:lang w:val="en-US" w:eastAsia="zh-CN"/>
        </w:rPr>
        <w:t>27060万</w:t>
      </w:r>
      <w:r>
        <w:rPr>
          <w:rFonts w:hint="eastAsia" w:ascii="仿宋_GB2312" w:hAnsi="仿宋_GB2312" w:eastAsia="仿宋_GB2312" w:cs="仿宋_GB2312"/>
          <w:sz w:val="32"/>
          <w:szCs w:val="32"/>
          <w:highlight w:val="none"/>
        </w:rPr>
        <w:t>元，支持农业基础设施建设，改善农业生产生活条件，提升村民生活质量，推动宜居宜业和美乡村建设全面发展。通过构建“政府+担保+银行”风险分担机制，累计为贷款主体提供担保贴息355万元，培育龙头企业28个，服务覆盖全县16个乡镇、294个行政村，重点支持“菌、果、药”三大特色产业及乡村旅游发展。为农业产业升级和乡村振兴注入了金融活水。</w:t>
      </w:r>
      <w:r>
        <w:rPr>
          <w:rFonts w:hint="eastAsia" w:ascii="仿宋_GB2312" w:hAnsi="Times New Roman" w:eastAsia="仿宋_GB2312"/>
          <w:sz w:val="32"/>
          <w:szCs w:val="32"/>
        </w:rPr>
        <w:t>争取农村公益事业财政奖补重点村项目</w:t>
      </w:r>
      <w:r>
        <w:rPr>
          <w:rFonts w:hint="eastAsia" w:ascii="仿宋_GB2312" w:hAnsi="Times New Roman" w:eastAsia="仿宋_GB2312"/>
          <w:sz w:val="32"/>
          <w:szCs w:val="32"/>
          <w:lang w:val="en-US" w:eastAsia="zh-CN"/>
        </w:rPr>
        <w:t>9</w:t>
      </w:r>
      <w:r>
        <w:rPr>
          <w:rFonts w:hint="eastAsia" w:ascii="仿宋_GB2312" w:hAnsi="Times New Roman" w:eastAsia="仿宋_GB2312"/>
          <w:sz w:val="32"/>
          <w:szCs w:val="32"/>
        </w:rPr>
        <w:t>个，</w:t>
      </w:r>
      <w:r>
        <w:rPr>
          <w:rFonts w:hint="eastAsia" w:ascii="仿宋_GB2312" w:hAnsi="仿宋_GB2312" w:eastAsia="仿宋_GB2312" w:cs="仿宋_GB2312"/>
          <w:sz w:val="32"/>
          <w:szCs w:val="32"/>
          <w:lang w:val="en-US" w:eastAsia="zh-CN"/>
        </w:rPr>
        <w:t>到位资金1900</w:t>
      </w:r>
      <w:r>
        <w:rPr>
          <w:rFonts w:hint="eastAsia" w:ascii="仿宋_GB2312" w:hAnsi="仿宋_GB2312" w:eastAsia="仿宋_GB2312" w:cs="仿宋_GB2312"/>
          <w:sz w:val="32"/>
          <w:szCs w:val="32"/>
        </w:rPr>
        <w:t>万元，</w:t>
      </w:r>
      <w:r>
        <w:rPr>
          <w:rFonts w:hint="eastAsia" w:ascii="仿宋_GB2312" w:hAnsi="Times New Roman" w:eastAsia="仿宋_GB2312"/>
          <w:sz w:val="32"/>
          <w:szCs w:val="32"/>
        </w:rPr>
        <w:t>受益人口2万人；农村公益事业财政奖补普惠性项目</w:t>
      </w:r>
      <w:r>
        <w:rPr>
          <w:rFonts w:hint="eastAsia" w:ascii="仿宋_GB2312" w:hAnsi="Times New Roman" w:eastAsia="仿宋_GB2312"/>
          <w:sz w:val="32"/>
          <w:szCs w:val="32"/>
          <w:lang w:val="en-US" w:eastAsia="zh-CN"/>
        </w:rPr>
        <w:t>125</w:t>
      </w:r>
      <w:r>
        <w:rPr>
          <w:rFonts w:hint="eastAsia" w:ascii="仿宋_GB2312" w:hAnsi="Times New Roman" w:eastAsia="仿宋_GB2312"/>
          <w:sz w:val="32"/>
          <w:szCs w:val="32"/>
        </w:rPr>
        <w:t>个，</w:t>
      </w:r>
      <w:r>
        <w:rPr>
          <w:rFonts w:hint="eastAsia" w:ascii="仿宋_GB2312" w:hAnsi="仿宋_GB2312" w:eastAsia="仿宋_GB2312" w:cs="仿宋_GB2312"/>
          <w:sz w:val="32"/>
          <w:szCs w:val="32"/>
          <w:lang w:val="en-US" w:eastAsia="zh-CN"/>
        </w:rPr>
        <w:t>到位资金2232</w:t>
      </w:r>
      <w:r>
        <w:rPr>
          <w:rFonts w:hint="eastAsia" w:ascii="仿宋_GB2312" w:hAnsi="仿宋_GB2312" w:eastAsia="仿宋_GB2312" w:cs="仿宋_GB2312"/>
          <w:sz w:val="32"/>
          <w:szCs w:val="32"/>
        </w:rPr>
        <w:t>万元，</w:t>
      </w:r>
      <w:r>
        <w:rPr>
          <w:rFonts w:hint="eastAsia" w:ascii="仿宋_GB2312" w:hAnsi="Times New Roman" w:eastAsia="仿宋_GB2312"/>
          <w:sz w:val="32"/>
          <w:szCs w:val="32"/>
        </w:rPr>
        <w:t>受益人口13万人。争取农业保险特色险奖补资金、普惠金融奖补资金、粮食风险基金1582万元。</w:t>
      </w:r>
    </w:p>
    <w:p w14:paraId="4126554E">
      <w:pPr>
        <w:keepNext w:val="0"/>
        <w:keepLines w:val="0"/>
        <w:pageBreakBefore w:val="0"/>
        <w:widowControl w:val="0"/>
        <w:numPr>
          <w:ilvl w:val="0"/>
          <w:numId w:val="0"/>
        </w:numPr>
        <w:kinsoku/>
        <w:wordWrap/>
        <w:overflowPunct/>
        <w:topLinePunct/>
        <w:autoSpaceDE w:val="0"/>
        <w:autoSpaceDN/>
        <w:bidi w:val="0"/>
        <w:adjustRightInd w:val="0"/>
        <w:snapToGrid w:val="0"/>
        <w:spacing w:line="560" w:lineRule="exact"/>
        <w:ind w:left="0" w:firstLine="643" w:firstLineChars="200"/>
        <w:jc w:val="both"/>
        <w:textAlignment w:val="auto"/>
        <w:rPr>
          <w:rFonts w:hint="eastAsia" w:ascii="仿宋_GB2312" w:hAnsi="仿宋_GB2312" w:eastAsia="仿宋_GB2312" w:cs="仿宋_GB2312"/>
          <w:b/>
          <w:bCs/>
          <w:kern w:val="0"/>
          <w:sz w:val="32"/>
          <w:szCs w:val="32"/>
          <w:highlight w:val="none"/>
          <w:lang w:val="en-US" w:eastAsia="zh-CN"/>
        </w:rPr>
      </w:pPr>
      <w:r>
        <w:rPr>
          <w:rFonts w:hint="eastAsia" w:ascii="仿宋_GB2312" w:hAnsi="仿宋_GB2312" w:eastAsia="仿宋_GB2312" w:cs="仿宋_GB2312"/>
          <w:b/>
          <w:bCs/>
          <w:kern w:val="0"/>
          <w:sz w:val="32"/>
          <w:szCs w:val="32"/>
          <w:lang w:val="en-US" w:eastAsia="zh-CN"/>
        </w:rPr>
        <w:t>4</w:t>
      </w:r>
      <w:r>
        <w:rPr>
          <w:rFonts w:hint="eastAsia" w:ascii="仿宋_GB2312" w:hAnsi="仿宋_GB2312" w:eastAsia="仿宋_GB2312" w:cs="仿宋_GB2312"/>
          <w:b/>
          <w:bCs/>
          <w:kern w:val="0"/>
          <w:sz w:val="32"/>
          <w:szCs w:val="32"/>
        </w:rPr>
        <w:t>.坚决守住民生底线提升保障</w:t>
      </w:r>
      <w:r>
        <w:rPr>
          <w:rFonts w:hint="eastAsia" w:ascii="仿宋_GB2312" w:hAnsi="仿宋_GB2312" w:eastAsia="仿宋_GB2312" w:cs="仿宋_GB2312"/>
          <w:b/>
          <w:bCs/>
          <w:kern w:val="0"/>
          <w:sz w:val="32"/>
          <w:szCs w:val="32"/>
          <w:lang w:val="en-US" w:eastAsia="zh-CN"/>
        </w:rPr>
        <w:t>能力</w:t>
      </w:r>
      <w:r>
        <w:rPr>
          <w:rFonts w:hint="eastAsia" w:ascii="仿宋_GB2312" w:hAnsi="仿宋_GB2312" w:eastAsia="仿宋_GB2312" w:cs="仿宋_GB2312"/>
          <w:b/>
          <w:bCs/>
          <w:kern w:val="0"/>
          <w:sz w:val="32"/>
          <w:szCs w:val="32"/>
        </w:rPr>
        <w:t>。</w:t>
      </w:r>
      <w:r>
        <w:rPr>
          <w:rFonts w:hint="eastAsia" w:ascii="仿宋_GB2312" w:hAnsi="仿宋_GB2312" w:eastAsia="仿宋_GB2312" w:cs="仿宋_GB2312"/>
          <w:b w:val="0"/>
          <w:bCs w:val="0"/>
          <w:kern w:val="0"/>
          <w:sz w:val="32"/>
          <w:szCs w:val="32"/>
        </w:rPr>
        <w:t>严格</w:t>
      </w:r>
      <w:r>
        <w:rPr>
          <w:rFonts w:hint="eastAsia" w:ascii="仿宋_GB2312" w:hAnsi="仿宋_GB2312" w:eastAsia="仿宋_GB2312" w:cs="仿宋_GB2312"/>
          <w:b w:val="0"/>
          <w:bCs w:val="0"/>
          <w:kern w:val="0"/>
          <w:sz w:val="32"/>
          <w:szCs w:val="32"/>
          <w:lang w:val="en-US" w:eastAsia="zh-CN"/>
        </w:rPr>
        <w:t>落实</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rPr>
        <w:t>三保</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rPr>
        <w:t>标识管理，支持保障</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rPr>
        <w:t>三保</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rPr>
        <w:t>和重点支出需求</w:t>
      </w:r>
      <w:r>
        <w:rPr>
          <w:rFonts w:hint="eastAsia" w:ascii="仿宋_GB2312" w:hAnsi="仿宋_GB2312" w:eastAsia="仿宋_GB2312" w:cs="仿宋_GB2312"/>
          <w:b w:val="0"/>
          <w:bCs w:val="0"/>
          <w:kern w:val="0"/>
          <w:sz w:val="32"/>
          <w:szCs w:val="32"/>
          <w:highlight w:val="none"/>
        </w:rPr>
        <w:t>。</w:t>
      </w:r>
      <w:r>
        <w:rPr>
          <w:rFonts w:hint="eastAsia" w:ascii="仿宋_GB2312" w:hAnsi="仿宋_GB2312" w:eastAsia="仿宋_GB2312" w:cs="仿宋_GB2312"/>
          <w:kern w:val="0"/>
          <w:sz w:val="32"/>
          <w:szCs w:val="32"/>
          <w:highlight w:val="none"/>
        </w:rPr>
        <w:t>全县民生支出</w:t>
      </w:r>
      <w:r>
        <w:rPr>
          <w:rFonts w:hint="eastAsia" w:ascii="仿宋_GB2312" w:hAnsi="仿宋_GB2312" w:eastAsia="仿宋_GB2312" w:cs="仿宋_GB2312"/>
          <w:kern w:val="0"/>
          <w:sz w:val="32"/>
          <w:szCs w:val="32"/>
          <w:highlight w:val="none"/>
          <w:lang w:val="en-US" w:eastAsia="zh-CN"/>
        </w:rPr>
        <w:t>36.08</w:t>
      </w:r>
      <w:r>
        <w:rPr>
          <w:rFonts w:hint="eastAsia" w:ascii="仿宋_GB2312" w:hAnsi="仿宋_GB2312" w:eastAsia="仿宋_GB2312" w:cs="仿宋_GB2312"/>
          <w:kern w:val="0"/>
          <w:sz w:val="32"/>
          <w:szCs w:val="32"/>
          <w:highlight w:val="none"/>
        </w:rPr>
        <w:t>亿元，占一般公共预算支出的</w:t>
      </w:r>
      <w:r>
        <w:rPr>
          <w:rFonts w:hint="eastAsia" w:ascii="仿宋_GB2312" w:hAnsi="仿宋_GB2312" w:eastAsia="仿宋_GB2312" w:cs="仿宋_GB2312"/>
          <w:kern w:val="0"/>
          <w:sz w:val="32"/>
          <w:szCs w:val="32"/>
          <w:highlight w:val="none"/>
          <w:lang w:val="en-US" w:eastAsia="zh-CN"/>
        </w:rPr>
        <w:t>91.07</w:t>
      </w:r>
      <w:r>
        <w:rPr>
          <w:rFonts w:hint="eastAsia" w:ascii="仿宋_GB2312" w:hAnsi="仿宋_GB2312" w:eastAsia="仿宋_GB2312" w:cs="仿宋_GB2312"/>
          <w:kern w:val="0"/>
          <w:sz w:val="32"/>
          <w:szCs w:val="32"/>
          <w:highlight w:val="none"/>
        </w:rPr>
        <w:t>%，有力保障教育、社会保障与就业、卫生等民生和重点支出。</w:t>
      </w:r>
      <w:r>
        <w:rPr>
          <w:rFonts w:hint="eastAsia" w:ascii="仿宋_GB2312" w:hAnsi="仿宋_GB2312" w:eastAsia="仿宋_GB2312" w:cs="仿宋_GB2312"/>
          <w:b/>
          <w:bCs/>
          <w:kern w:val="0"/>
          <w:sz w:val="32"/>
          <w:szCs w:val="32"/>
          <w:lang w:val="en-US" w:eastAsia="zh-CN"/>
        </w:rPr>
        <w:t>落实社会保障与就业政策</w:t>
      </w:r>
      <w:r>
        <w:rPr>
          <w:rFonts w:hint="eastAsia" w:ascii="仿宋_GB2312" w:hAnsi="仿宋_GB2312" w:eastAsia="仿宋_GB2312" w:cs="仿宋_GB2312"/>
          <w:b/>
          <w:bCs/>
          <w:kern w:val="0"/>
          <w:sz w:val="32"/>
          <w:szCs w:val="32"/>
        </w:rPr>
        <w:t>。</w:t>
      </w:r>
      <w:r>
        <w:rPr>
          <w:rFonts w:hint="eastAsia" w:ascii="仿宋_GB2312" w:hAnsi="仿宋_GB2312" w:eastAsia="仿宋_GB2312" w:cs="仿宋_GB2312"/>
          <w:kern w:val="0"/>
          <w:sz w:val="32"/>
          <w:szCs w:val="32"/>
        </w:rPr>
        <w:t>全县社会保障与就业支出</w:t>
      </w:r>
      <w:r>
        <w:rPr>
          <w:rFonts w:hint="eastAsia" w:ascii="仿宋_GB2312" w:hAnsi="仿宋_GB2312" w:eastAsia="仿宋_GB2312" w:cs="仿宋_GB2312"/>
          <w:kern w:val="0"/>
          <w:sz w:val="32"/>
          <w:szCs w:val="32"/>
          <w:lang w:val="en-US" w:eastAsia="zh-CN"/>
        </w:rPr>
        <w:t>54703</w:t>
      </w:r>
      <w:r>
        <w:rPr>
          <w:rFonts w:hint="eastAsia" w:ascii="仿宋_GB2312" w:hAnsi="仿宋_GB2312" w:eastAsia="仿宋_GB2312" w:cs="仿宋_GB2312"/>
          <w:kern w:val="0"/>
          <w:sz w:val="32"/>
          <w:szCs w:val="32"/>
        </w:rPr>
        <w:t>万元，其中：财政对城乡居民养老保险补助3154万元；城乡居民医疗保险补助6148万元；财政对机关事业单位养老补助16800万元；统筹资金12805万元，确保城乡低保对象困难群众及残疾人等特殊群体基本生活得到有效保障；落实公益性岗位补贴及社保补贴、职业技能培训等就业补助1398万元，促进就业扶持政策的落实。</w:t>
      </w:r>
      <w:r>
        <w:rPr>
          <w:rFonts w:hint="eastAsia" w:ascii="仿宋_GB2312" w:hAnsi="仿宋_GB2312" w:eastAsia="仿宋_GB2312" w:cs="仿宋_GB2312"/>
          <w:b/>
          <w:bCs/>
          <w:kern w:val="0"/>
          <w:sz w:val="32"/>
          <w:szCs w:val="32"/>
          <w:highlight w:val="none"/>
        </w:rPr>
        <w:t>支持教育公平和高质量发展。</w:t>
      </w:r>
      <w:r>
        <w:rPr>
          <w:rFonts w:hint="eastAsia" w:ascii="仿宋_GB2312" w:hAnsi="仿宋_GB2312" w:eastAsia="仿宋_GB2312" w:cs="仿宋_GB2312"/>
          <w:b w:val="0"/>
          <w:bCs w:val="0"/>
          <w:kern w:val="0"/>
          <w:sz w:val="32"/>
          <w:szCs w:val="32"/>
          <w:highlight w:val="none"/>
        </w:rPr>
        <w:t>全县教育支出</w:t>
      </w:r>
      <w:r>
        <w:rPr>
          <w:rFonts w:hint="eastAsia" w:ascii="仿宋_GB2312" w:hAnsi="仿宋_GB2312" w:eastAsia="仿宋_GB2312" w:cs="仿宋_GB2312"/>
          <w:b w:val="0"/>
          <w:bCs w:val="0"/>
          <w:kern w:val="0"/>
          <w:sz w:val="32"/>
          <w:szCs w:val="32"/>
          <w:highlight w:val="none"/>
          <w:lang w:val="en-US" w:eastAsia="zh-CN"/>
        </w:rPr>
        <w:t>134920</w:t>
      </w:r>
      <w:r>
        <w:rPr>
          <w:rFonts w:hint="eastAsia" w:ascii="仿宋_GB2312" w:hAnsi="仿宋_GB2312" w:eastAsia="仿宋_GB2312" w:cs="仿宋_GB2312"/>
          <w:b w:val="0"/>
          <w:bCs w:val="0"/>
          <w:kern w:val="0"/>
          <w:sz w:val="32"/>
          <w:szCs w:val="32"/>
          <w:highlight w:val="none"/>
        </w:rPr>
        <w:t>万元，其中：统筹资金6561万元，用于全县220所义务教育阶段学校生均公用经费；统筹2010万元</w:t>
      </w:r>
      <w:r>
        <w:rPr>
          <w:rFonts w:hint="eastAsia" w:ascii="仿宋_GB2312" w:hAnsi="仿宋_GB2312" w:eastAsia="仿宋_GB2312" w:cs="仿宋_GB2312"/>
          <w:b w:val="0"/>
          <w:bCs w:val="0"/>
          <w:kern w:val="0"/>
          <w:sz w:val="32"/>
          <w:szCs w:val="32"/>
          <w:highlight w:val="none"/>
          <w:lang w:eastAsia="zh-CN"/>
        </w:rPr>
        <w:t>用于保障</w:t>
      </w:r>
      <w:r>
        <w:rPr>
          <w:rFonts w:hint="eastAsia" w:ascii="仿宋_GB2312" w:hAnsi="仿宋_GB2312" w:eastAsia="仿宋_GB2312" w:cs="仿宋_GB2312"/>
          <w:b w:val="0"/>
          <w:bCs w:val="0"/>
          <w:kern w:val="0"/>
          <w:sz w:val="32"/>
          <w:szCs w:val="32"/>
          <w:highlight w:val="none"/>
        </w:rPr>
        <w:t>高中生均公用经费，促进教育基本公共服务均等化；筹措资金6190万元，保障农村校舍维修改造、薄改提升、改善高中办学条件、学前教育发展等35个项目建设；统筹资金2305万元，为学前教育阶段、义务教育阶段、高中阶段、职业教育阶段建档立卡贫困家庭学生和家庭经济困难在校在籍生提供了有力的学习支撑。</w:t>
      </w:r>
      <w:r>
        <w:rPr>
          <w:rFonts w:hint="eastAsia" w:ascii="仿宋_GB2312" w:hAnsi="仿宋_GB2312" w:eastAsia="仿宋_GB2312" w:cs="仿宋_GB2312"/>
          <w:b/>
          <w:bCs/>
          <w:kern w:val="0"/>
          <w:sz w:val="32"/>
          <w:szCs w:val="32"/>
          <w:highlight w:val="none"/>
          <w:lang w:val="en-US" w:eastAsia="zh-CN"/>
        </w:rPr>
        <w:t>支持</w:t>
      </w:r>
      <w:r>
        <w:rPr>
          <w:rFonts w:hint="eastAsia" w:ascii="仿宋_GB2312" w:hAnsi="仿宋_GB2312" w:eastAsia="仿宋_GB2312" w:cs="仿宋_GB2312"/>
          <w:b/>
          <w:bCs/>
          <w:kern w:val="0"/>
          <w:sz w:val="32"/>
          <w:szCs w:val="32"/>
          <w:highlight w:val="none"/>
        </w:rPr>
        <w:t>卫生事业发展。</w:t>
      </w:r>
      <w:r>
        <w:rPr>
          <w:rFonts w:hint="eastAsia" w:ascii="仿宋_GB2312" w:hAnsi="仿宋_GB2312" w:eastAsia="仿宋_GB2312" w:cs="仿宋_GB2312"/>
          <w:kern w:val="0"/>
          <w:sz w:val="32"/>
          <w:szCs w:val="32"/>
          <w:highlight w:val="none"/>
        </w:rPr>
        <w:t>全县卫生健康支出</w:t>
      </w:r>
      <w:r>
        <w:rPr>
          <w:rFonts w:hint="eastAsia" w:ascii="仿宋_GB2312" w:hAnsi="仿宋_GB2312" w:eastAsia="仿宋_GB2312" w:cs="仿宋_GB2312"/>
          <w:kern w:val="0"/>
          <w:sz w:val="32"/>
          <w:szCs w:val="32"/>
          <w:highlight w:val="none"/>
          <w:lang w:val="en-US" w:eastAsia="zh-CN"/>
        </w:rPr>
        <w:t>43698</w:t>
      </w:r>
      <w:r>
        <w:rPr>
          <w:rFonts w:hint="eastAsia" w:ascii="仿宋_GB2312" w:hAnsi="仿宋_GB2312" w:eastAsia="仿宋_GB2312" w:cs="仿宋_GB2312"/>
          <w:kern w:val="0"/>
          <w:sz w:val="32"/>
          <w:szCs w:val="32"/>
          <w:highlight w:val="none"/>
        </w:rPr>
        <w:t>万元，其中：城乡居民医疗保险年人均财政补助标准从670元提高到700元；基本公共卫生服务资金人均经费标准从94元提高到99元；拨付资金1765万元，用于医疗救助，切实帮助困难群众解决医疗费用负担重的问题，保障卫生事业健康发展。</w:t>
      </w:r>
      <w:r>
        <w:rPr>
          <w:rFonts w:hint="eastAsia" w:ascii="仿宋_GB2312" w:hAnsi="仿宋_GB2312" w:eastAsia="仿宋_GB2312" w:cs="仿宋_GB2312"/>
          <w:b/>
          <w:bCs/>
          <w:kern w:val="0"/>
          <w:sz w:val="32"/>
          <w:szCs w:val="32"/>
        </w:rPr>
        <w:t>支持文化事业发展。</w:t>
      </w:r>
      <w:r>
        <w:rPr>
          <w:rFonts w:hint="eastAsia" w:ascii="仿宋_GB2312" w:hAnsi="仿宋_GB2312" w:eastAsia="仿宋_GB2312" w:cs="仿宋_GB2312"/>
          <w:kern w:val="0"/>
          <w:sz w:val="32"/>
          <w:szCs w:val="32"/>
        </w:rPr>
        <w:t>全县文化旅游体育与传媒支出</w:t>
      </w:r>
      <w:r>
        <w:rPr>
          <w:rFonts w:hint="eastAsia" w:ascii="仿宋_GB2312" w:hAnsi="仿宋" w:eastAsia="仿宋_GB2312"/>
          <w:bCs/>
          <w:sz w:val="32"/>
          <w:szCs w:val="32"/>
        </w:rPr>
        <w:t>3</w:t>
      </w:r>
      <w:r>
        <w:rPr>
          <w:rFonts w:hint="eastAsia" w:ascii="仿宋_GB2312" w:hAnsi="仿宋" w:eastAsia="仿宋_GB2312"/>
          <w:bCs/>
          <w:sz w:val="32"/>
          <w:szCs w:val="32"/>
          <w:lang w:val="en-US" w:eastAsia="zh-CN"/>
        </w:rPr>
        <w:t>0</w:t>
      </w:r>
      <w:r>
        <w:rPr>
          <w:rFonts w:hint="eastAsia" w:ascii="仿宋_GB2312" w:hAnsi="仿宋" w:eastAsia="仿宋_GB2312"/>
          <w:bCs/>
          <w:sz w:val="32"/>
          <w:szCs w:val="32"/>
        </w:rPr>
        <w:t>39</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color w:val="000000"/>
          <w:sz w:val="32"/>
          <w:szCs w:val="32"/>
          <w:lang w:val="en-US" w:eastAsia="zh-CN"/>
        </w:rPr>
        <w:t>支持媒体及广播电视事业建设，改善城乡公共体育设施条件，促进公共体育场馆向社会免费或低收费开放。</w:t>
      </w:r>
      <w:r>
        <w:rPr>
          <w:rFonts w:hint="eastAsia" w:ascii="仿宋_GB2312" w:hAnsi="仿宋_GB2312" w:eastAsia="仿宋_GB2312" w:cs="仿宋_GB2312"/>
          <w:b/>
          <w:bCs/>
          <w:kern w:val="0"/>
          <w:sz w:val="32"/>
          <w:szCs w:val="32"/>
          <w:highlight w:val="none"/>
          <w:lang w:val="en-US" w:eastAsia="zh-CN"/>
        </w:rPr>
        <w:t>支持</w:t>
      </w:r>
      <w:r>
        <w:rPr>
          <w:rFonts w:hint="eastAsia" w:ascii="仿宋_GB2312" w:hAnsi="仿宋_GB2312" w:eastAsia="仿宋_GB2312" w:cs="仿宋_GB2312"/>
          <w:b/>
          <w:bCs/>
          <w:kern w:val="0"/>
          <w:sz w:val="32"/>
          <w:szCs w:val="32"/>
          <w:highlight w:val="none"/>
        </w:rPr>
        <w:t>平安西峡建设。</w:t>
      </w:r>
      <w:r>
        <w:rPr>
          <w:rFonts w:hint="eastAsia" w:ascii="仿宋_GB2312" w:hAnsi="仿宋_GB2312" w:eastAsia="仿宋_GB2312" w:cs="仿宋_GB2312"/>
          <w:kern w:val="0"/>
          <w:sz w:val="32"/>
          <w:szCs w:val="32"/>
          <w:highlight w:val="none"/>
        </w:rPr>
        <w:t>全县公共安全支出</w:t>
      </w:r>
      <w:r>
        <w:rPr>
          <w:rFonts w:hint="eastAsia" w:ascii="仿宋_GB2312" w:hAnsi="仿宋_GB2312" w:eastAsia="仿宋_GB2312" w:cs="仿宋_GB2312"/>
          <w:kern w:val="0"/>
          <w:sz w:val="32"/>
          <w:szCs w:val="32"/>
          <w:highlight w:val="none"/>
          <w:lang w:val="en-US" w:eastAsia="zh-CN"/>
        </w:rPr>
        <w:t>4746</w:t>
      </w:r>
      <w:r>
        <w:rPr>
          <w:rFonts w:hint="eastAsia" w:ascii="仿宋_GB2312" w:hAnsi="仿宋_GB2312" w:eastAsia="仿宋_GB2312" w:cs="仿宋_GB2312"/>
          <w:kern w:val="0"/>
          <w:sz w:val="32"/>
          <w:szCs w:val="32"/>
          <w:highlight w:val="none"/>
        </w:rPr>
        <w:t>万元，支持法治政府建设、严重精神病患者救助、保险及有奖看护、国家司法救助、社区矫正、法律援助、民事调解、村居法律顾问、雪亮工程运行维护、公安信息化建设和政法队伍优化，不断提升政法部门服务大局的能力水平，有力推动平安西峡建设。</w:t>
      </w:r>
      <w:r>
        <w:rPr>
          <w:rFonts w:hint="eastAsia" w:ascii="仿宋_GB2312" w:hAnsi="仿宋_GB2312" w:eastAsia="仿宋_GB2312" w:cs="仿宋_GB2312"/>
          <w:b/>
          <w:bCs/>
          <w:kern w:val="0"/>
          <w:sz w:val="32"/>
          <w:szCs w:val="32"/>
          <w:highlight w:val="none"/>
          <w:lang w:val="en-US" w:eastAsia="zh-CN"/>
        </w:rPr>
        <w:t>支持灾后重建工作。</w:t>
      </w:r>
      <w:r>
        <w:rPr>
          <w:rFonts w:hint="eastAsia" w:ascii="仿宋_GB2312" w:hAnsi="仿宋_GB2312" w:eastAsia="仿宋_GB2312" w:cs="仿宋_GB2312"/>
          <w:b w:val="0"/>
          <w:bCs w:val="0"/>
          <w:kern w:val="0"/>
          <w:sz w:val="32"/>
          <w:szCs w:val="32"/>
          <w:highlight w:val="none"/>
          <w:lang w:val="en-US" w:eastAsia="zh-CN"/>
        </w:rPr>
        <w:t>全年灾害防治及应急管理支出2446万元，重点保障了“630”自然灾害受灾严重的太平镇、二郎坪镇及双龙镇应急救灾及基础设施重建。</w:t>
      </w:r>
      <w:r>
        <w:rPr>
          <w:rFonts w:hint="eastAsia" w:ascii="仿宋_GB2312" w:hAnsi="仿宋_GB2312" w:eastAsia="仿宋_GB2312" w:cs="仿宋_GB2312"/>
          <w:b/>
          <w:bCs/>
          <w:kern w:val="0"/>
          <w:sz w:val="32"/>
          <w:szCs w:val="32"/>
        </w:rPr>
        <w:t>加强生态环境保护</w:t>
      </w:r>
      <w:r>
        <w:rPr>
          <w:rFonts w:hint="eastAsia" w:ascii="仿宋_GB2312" w:hAnsi="仿宋_GB2312" w:eastAsia="仿宋_GB2312" w:cs="仿宋_GB2312"/>
          <w:b/>
          <w:bCs/>
          <w:kern w:val="0"/>
          <w:sz w:val="32"/>
          <w:szCs w:val="32"/>
          <w:lang w:val="en-US" w:eastAsia="zh-CN"/>
        </w:rPr>
        <w:t>资金保障</w:t>
      </w:r>
      <w:r>
        <w:rPr>
          <w:rFonts w:hint="eastAsia" w:ascii="仿宋_GB2312" w:hAnsi="仿宋_GB2312" w:eastAsia="仿宋_GB2312" w:cs="仿宋_GB2312"/>
          <w:b/>
          <w:bCs/>
          <w:kern w:val="0"/>
          <w:sz w:val="32"/>
          <w:szCs w:val="32"/>
        </w:rPr>
        <w:t>。</w:t>
      </w:r>
      <w:r>
        <w:rPr>
          <w:rFonts w:hint="eastAsia" w:ascii="仿宋_GB2312" w:hAnsi="仿宋_GB2312" w:eastAsia="仿宋_GB2312" w:cs="仿宋_GB2312"/>
          <w:kern w:val="0"/>
          <w:sz w:val="32"/>
          <w:szCs w:val="32"/>
          <w:highlight w:val="none"/>
        </w:rPr>
        <w:t>全县节能环保支出</w:t>
      </w:r>
      <w:r>
        <w:rPr>
          <w:rFonts w:hint="eastAsia" w:ascii="仿宋_GB2312" w:hAnsi="仿宋" w:eastAsia="仿宋_GB2312"/>
          <w:bCs/>
          <w:sz w:val="32"/>
          <w:szCs w:val="32"/>
          <w:highlight w:val="none"/>
        </w:rPr>
        <w:t>21274</w:t>
      </w:r>
      <w:r>
        <w:rPr>
          <w:rFonts w:hint="eastAsia" w:ascii="仿宋_GB2312" w:hAnsi="仿宋_GB2312" w:eastAsia="仿宋_GB2312" w:cs="仿宋_GB2312"/>
          <w:kern w:val="0"/>
          <w:sz w:val="32"/>
          <w:szCs w:val="32"/>
          <w:highlight w:val="none"/>
        </w:rPr>
        <w:t>万元，重点支持打好蓝天、碧水、净土保卫战，推动碳达峰、碳中和有序开展。其中:安排资金1</w:t>
      </w:r>
      <w:r>
        <w:rPr>
          <w:rFonts w:hint="eastAsia" w:ascii="仿宋_GB2312" w:hAnsi="仿宋_GB2312" w:eastAsia="仿宋_GB2312" w:cs="仿宋_GB2312"/>
          <w:kern w:val="0"/>
          <w:sz w:val="32"/>
          <w:szCs w:val="32"/>
          <w:highlight w:val="none"/>
          <w:lang w:val="en-US" w:eastAsia="zh-CN"/>
        </w:rPr>
        <w:t>3869</w:t>
      </w:r>
      <w:r>
        <w:rPr>
          <w:rFonts w:hint="eastAsia" w:ascii="仿宋_GB2312" w:hAnsi="仿宋_GB2312" w:eastAsia="仿宋_GB2312" w:cs="仿宋_GB2312"/>
          <w:kern w:val="0"/>
          <w:sz w:val="32"/>
          <w:szCs w:val="32"/>
          <w:highlight w:val="none"/>
        </w:rPr>
        <w:t>万元，用于</w:t>
      </w:r>
      <w:r>
        <w:rPr>
          <w:rFonts w:hint="eastAsia" w:ascii="仿宋_GB2312" w:hAnsi="仿宋_GB2312" w:eastAsia="仿宋_GB2312" w:cs="仿宋_GB2312"/>
          <w:kern w:val="0"/>
          <w:sz w:val="32"/>
          <w:szCs w:val="32"/>
          <w:highlight w:val="none"/>
          <w:lang w:val="en-US" w:eastAsia="zh-CN"/>
        </w:rPr>
        <w:t>大气、水、土壤污染防治</w:t>
      </w:r>
      <w:r>
        <w:rPr>
          <w:rFonts w:hint="eastAsia" w:ascii="仿宋_GB2312" w:hAnsi="仿宋_GB2312" w:eastAsia="仿宋_GB2312" w:cs="仿宋_GB2312"/>
          <w:kern w:val="0"/>
          <w:sz w:val="32"/>
          <w:szCs w:val="32"/>
          <w:highlight w:val="none"/>
        </w:rPr>
        <w:t>；安排资金</w:t>
      </w:r>
      <w:r>
        <w:rPr>
          <w:rFonts w:hint="eastAsia" w:ascii="仿宋_GB2312" w:hAnsi="仿宋_GB2312" w:eastAsia="仿宋_GB2312" w:cs="仿宋_GB2312"/>
          <w:kern w:val="0"/>
          <w:sz w:val="32"/>
          <w:szCs w:val="32"/>
          <w:highlight w:val="none"/>
          <w:lang w:val="en-US" w:eastAsia="zh-CN"/>
        </w:rPr>
        <w:t>4347</w:t>
      </w:r>
      <w:r>
        <w:rPr>
          <w:rFonts w:hint="eastAsia" w:ascii="仿宋_GB2312" w:hAnsi="仿宋_GB2312" w:eastAsia="仿宋_GB2312" w:cs="仿宋_GB2312"/>
          <w:kern w:val="0"/>
          <w:sz w:val="32"/>
          <w:szCs w:val="32"/>
          <w:highlight w:val="none"/>
        </w:rPr>
        <w:t>万元，用于自然生态保护</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安排资金</w:t>
      </w:r>
      <w:r>
        <w:rPr>
          <w:rFonts w:hint="eastAsia" w:ascii="仿宋_GB2312" w:hAnsi="仿宋_GB2312" w:eastAsia="仿宋_GB2312" w:cs="仿宋_GB2312"/>
          <w:kern w:val="0"/>
          <w:sz w:val="32"/>
          <w:szCs w:val="32"/>
          <w:highlight w:val="none"/>
          <w:lang w:val="en-US" w:eastAsia="zh-CN"/>
        </w:rPr>
        <w:t>2397</w:t>
      </w:r>
      <w:r>
        <w:rPr>
          <w:rFonts w:hint="eastAsia" w:ascii="仿宋_GB2312" w:hAnsi="仿宋_GB2312" w:eastAsia="仿宋_GB2312" w:cs="仿宋_GB2312"/>
          <w:kern w:val="0"/>
          <w:sz w:val="32"/>
          <w:szCs w:val="32"/>
          <w:highlight w:val="none"/>
        </w:rPr>
        <w:t>万元，用于环境保护管理事务</w:t>
      </w:r>
      <w:r>
        <w:rPr>
          <w:rFonts w:hint="eastAsia" w:ascii="仿宋_GB2312" w:hAnsi="仿宋_GB2312" w:eastAsia="仿宋_GB2312" w:cs="仿宋_GB2312"/>
          <w:kern w:val="0"/>
          <w:sz w:val="32"/>
          <w:szCs w:val="32"/>
          <w:highlight w:val="none"/>
          <w:lang w:val="en-US" w:eastAsia="zh-CN"/>
        </w:rPr>
        <w:t>和环境监测与监察</w:t>
      </w:r>
      <w:r>
        <w:rPr>
          <w:rFonts w:hint="eastAsia" w:ascii="仿宋_GB2312" w:hAnsi="仿宋_GB2312" w:eastAsia="仿宋_GB2312" w:cs="仿宋_GB2312"/>
          <w:kern w:val="0"/>
          <w:sz w:val="32"/>
          <w:szCs w:val="32"/>
          <w:highlight w:val="none"/>
        </w:rPr>
        <w:t>。</w:t>
      </w:r>
    </w:p>
    <w:p w14:paraId="6E3DFD6C">
      <w:pPr>
        <w:keepNext w:val="0"/>
        <w:keepLines w:val="0"/>
        <w:pageBreakBefore w:val="0"/>
        <w:widowControl w:val="0"/>
        <w:kinsoku/>
        <w:wordWrap/>
        <w:overflowPunct w:val="0"/>
        <w:topLinePunct w:val="0"/>
        <w:bidi w:val="0"/>
        <w:adjustRightInd w:val="0"/>
        <w:snapToGrid w:val="0"/>
        <w:spacing w:line="560" w:lineRule="exact"/>
        <w:ind w:firstLine="643" w:firstLineChars="200"/>
        <w:textAlignment w:val="auto"/>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lang w:val="en-US" w:eastAsia="zh-CN"/>
        </w:rPr>
        <w:t>5</w:t>
      </w:r>
      <w:r>
        <w:rPr>
          <w:rFonts w:hint="eastAsia" w:ascii="仿宋_GB2312" w:hAnsi="仿宋_GB2312" w:eastAsia="仿宋_GB2312" w:cs="仿宋_GB2312"/>
          <w:b/>
          <w:bCs/>
          <w:kern w:val="0"/>
          <w:sz w:val="32"/>
          <w:szCs w:val="32"/>
        </w:rPr>
        <w:t>.</w:t>
      </w:r>
      <w:r>
        <w:rPr>
          <w:rFonts w:hint="eastAsia" w:ascii="仿宋_GB2312" w:hAnsi="仿宋_GB2312" w:eastAsia="仿宋_GB2312" w:cs="仿宋_GB2312"/>
          <w:b/>
          <w:bCs/>
          <w:kern w:val="0"/>
          <w:sz w:val="32"/>
          <w:szCs w:val="32"/>
          <w:lang w:val="en-US" w:eastAsia="zh-CN"/>
        </w:rPr>
        <w:t>推进</w:t>
      </w:r>
      <w:r>
        <w:rPr>
          <w:rFonts w:hint="eastAsia" w:ascii="仿宋_GB2312" w:hAnsi="仿宋_GB2312" w:eastAsia="仿宋_GB2312" w:cs="仿宋_GB2312"/>
          <w:b/>
          <w:bCs/>
          <w:kern w:val="0"/>
          <w:sz w:val="32"/>
          <w:szCs w:val="32"/>
        </w:rPr>
        <w:t>财政改革和科学管理持续提升效能。</w:t>
      </w:r>
      <w:r>
        <w:rPr>
          <w:rFonts w:hint="eastAsia" w:ascii="仿宋_GB2312" w:hAnsi="仿宋_GB2312" w:eastAsia="仿宋_GB2312" w:cs="仿宋_GB2312"/>
          <w:kern w:val="0"/>
          <w:sz w:val="32"/>
          <w:szCs w:val="32"/>
          <w:highlight w:val="none"/>
        </w:rPr>
        <w:t>坚持深化财政管理改革，着力提升科学规范管理水平。严格落实党政机关</w:t>
      </w:r>
      <w:r>
        <w:rPr>
          <w:rFonts w:hint="eastAsia" w:ascii="仿宋_GB2312" w:hAnsi="仿宋_GB2312" w:eastAsia="仿宋_GB2312" w:cs="仿宋_GB2312"/>
          <w:kern w:val="0"/>
          <w:sz w:val="32"/>
          <w:szCs w:val="32"/>
          <w:highlight w:val="none"/>
          <w:lang w:val="en-US" w:eastAsia="zh-CN"/>
        </w:rPr>
        <w:t>习惯</w:t>
      </w:r>
      <w:r>
        <w:rPr>
          <w:rFonts w:hint="eastAsia" w:ascii="仿宋_GB2312" w:hAnsi="仿宋_GB2312" w:eastAsia="仿宋_GB2312" w:cs="仿宋_GB2312"/>
          <w:kern w:val="0"/>
          <w:sz w:val="32"/>
          <w:szCs w:val="32"/>
          <w:highlight w:val="none"/>
        </w:rPr>
        <w:t>过紧日子要求，加强“三公”经费管理，压减一般性支出</w:t>
      </w:r>
      <w:r>
        <w:rPr>
          <w:rFonts w:hint="eastAsia" w:ascii="仿宋_GB2312" w:hAnsi="仿宋_GB2312" w:eastAsia="仿宋_GB2312" w:cs="仿宋_GB2312"/>
          <w:kern w:val="0"/>
          <w:sz w:val="32"/>
          <w:szCs w:val="32"/>
          <w:highlight w:val="none"/>
          <w:lang w:val="en-US" w:eastAsia="zh-CN"/>
        </w:rPr>
        <w:t>3042万元</w:t>
      </w:r>
      <w:r>
        <w:rPr>
          <w:rFonts w:hint="eastAsia" w:ascii="仿宋_GB2312" w:hAnsi="仿宋_GB2312" w:eastAsia="仿宋_GB2312" w:cs="仿宋_GB2312"/>
          <w:kern w:val="0"/>
          <w:sz w:val="32"/>
          <w:szCs w:val="32"/>
          <w:highlight w:val="none"/>
        </w:rPr>
        <w:t>，严控预算追加和调剂事项。及时清理盘活存量资金，统筹用于财政“三保”和重点项目建设。落实常态化预决算公开监督机制，提升预决算公开质量和管理水平。预算绩效管理信息系统实现绩效目标申报、审核、监控及评价全流程线上操作，初步实现项目绩效目标设定全覆盖</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工作效率较传统模式提升40%</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信息化支撑能力显著提升</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全年惠民惠农财政补贴“一卡通”发放各类补贴资金</w:t>
      </w:r>
      <w:r>
        <w:rPr>
          <w:rFonts w:hint="eastAsia" w:ascii="仿宋_GB2312" w:hAnsi="仿宋_GB2312" w:eastAsia="仿宋_GB2312" w:cs="仿宋_GB2312"/>
          <w:kern w:val="0"/>
          <w:sz w:val="32"/>
          <w:szCs w:val="32"/>
          <w:highlight w:val="none"/>
          <w:lang w:val="en-US" w:eastAsia="zh-CN"/>
        </w:rPr>
        <w:t>3.03</w:t>
      </w:r>
      <w:r>
        <w:rPr>
          <w:rFonts w:hint="eastAsia" w:ascii="仿宋_GB2312" w:hAnsi="仿宋_GB2312" w:eastAsia="仿宋_GB2312" w:cs="仿宋_GB2312"/>
          <w:kern w:val="0"/>
          <w:sz w:val="32"/>
          <w:szCs w:val="32"/>
          <w:highlight w:val="none"/>
        </w:rPr>
        <w:t>亿元，惠及全县</w:t>
      </w:r>
      <w:r>
        <w:rPr>
          <w:rFonts w:hint="eastAsia" w:ascii="仿宋_GB2312" w:hAnsi="仿宋_GB2312" w:eastAsia="仿宋_GB2312" w:cs="仿宋_GB2312"/>
          <w:kern w:val="0"/>
          <w:sz w:val="32"/>
          <w:szCs w:val="32"/>
          <w:highlight w:val="none"/>
          <w:lang w:val="en-US" w:eastAsia="zh-CN"/>
        </w:rPr>
        <w:t>68.8</w:t>
      </w:r>
      <w:r>
        <w:rPr>
          <w:rFonts w:hint="eastAsia" w:ascii="仿宋_GB2312" w:hAnsi="仿宋_GB2312" w:eastAsia="仿宋_GB2312" w:cs="仿宋_GB2312"/>
          <w:kern w:val="0"/>
          <w:sz w:val="32"/>
          <w:szCs w:val="32"/>
          <w:highlight w:val="none"/>
        </w:rPr>
        <w:t>万人次。政府采购</w:t>
      </w:r>
      <w:r>
        <w:rPr>
          <w:rFonts w:hint="eastAsia" w:ascii="仿宋_GB2312" w:hAnsi="仿宋_GB2312" w:eastAsia="仿宋_GB2312" w:cs="仿宋_GB2312"/>
          <w:kern w:val="0"/>
          <w:sz w:val="32"/>
          <w:szCs w:val="32"/>
          <w:highlight w:val="none"/>
          <w:lang w:val="en-US" w:eastAsia="zh-CN"/>
        </w:rPr>
        <w:t>完成8.5亿</w:t>
      </w:r>
      <w:r>
        <w:rPr>
          <w:rFonts w:hint="eastAsia" w:ascii="仿宋_GB2312" w:hAnsi="仿宋_GB2312" w:eastAsia="仿宋_GB2312" w:cs="仿宋_GB2312"/>
          <w:kern w:val="0"/>
          <w:sz w:val="32"/>
          <w:szCs w:val="32"/>
          <w:highlight w:val="none"/>
        </w:rPr>
        <w:t>元，节约财政资金</w:t>
      </w:r>
      <w:r>
        <w:rPr>
          <w:rFonts w:hint="eastAsia" w:ascii="仿宋_GB2312" w:hAnsi="仿宋_GB2312" w:eastAsia="仿宋_GB2312" w:cs="仿宋_GB2312"/>
          <w:kern w:val="0"/>
          <w:sz w:val="32"/>
          <w:szCs w:val="32"/>
          <w:highlight w:val="none"/>
          <w:lang w:val="en-US" w:eastAsia="zh-CN"/>
        </w:rPr>
        <w:t>0.33</w:t>
      </w:r>
      <w:r>
        <w:rPr>
          <w:rFonts w:hint="eastAsia" w:ascii="仿宋_GB2312" w:hAnsi="仿宋_GB2312" w:eastAsia="仿宋_GB2312" w:cs="仿宋_GB2312"/>
          <w:kern w:val="0"/>
          <w:sz w:val="32"/>
          <w:szCs w:val="32"/>
          <w:highlight w:val="none"/>
        </w:rPr>
        <w:t>亿元，资金节约率</w:t>
      </w:r>
      <w:r>
        <w:rPr>
          <w:rFonts w:hint="eastAsia" w:ascii="仿宋_GB2312" w:hAnsi="仿宋_GB2312" w:eastAsia="仿宋_GB2312" w:cs="仿宋_GB2312"/>
          <w:kern w:val="0"/>
          <w:sz w:val="32"/>
          <w:szCs w:val="32"/>
          <w:highlight w:val="none"/>
          <w:lang w:val="en-US" w:eastAsia="zh-CN"/>
        </w:rPr>
        <w:t>3.7</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财政投资评审送审金额14.58亿元，审定金额12.9亿元，审减金额1.68亿元，综合审减率为11.5%。完成行政事业单位、国有企业、民营企业国有资金欠款回收工作36家，收回国有资产2579万元</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全面摸排盘活可利用闲置房屋和土地，快精准达到变现增收目的</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行政事业单位上缴出租出借收入1564万元</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国有资产处置收入2460万元。</w:t>
      </w:r>
      <w:r>
        <w:rPr>
          <w:rFonts w:hint="eastAsia" w:ascii="仿宋_GB2312" w:hAnsi="仿宋_GB2312" w:eastAsia="仿宋_GB2312" w:cs="仿宋_GB2312"/>
          <w:kern w:val="0"/>
          <w:sz w:val="32"/>
          <w:szCs w:val="32"/>
          <w:highlight w:val="none"/>
          <w:lang w:val="en-US" w:eastAsia="zh-CN"/>
        </w:rPr>
        <w:t>出台</w:t>
      </w:r>
      <w:r>
        <w:rPr>
          <w:rFonts w:hint="eastAsia" w:ascii="仿宋_GB2312" w:hAnsi="仿宋_GB2312" w:eastAsia="仿宋_GB2312" w:cs="仿宋_GB2312"/>
          <w:kern w:val="0"/>
          <w:sz w:val="32"/>
          <w:szCs w:val="32"/>
          <w:highlight w:val="none"/>
        </w:rPr>
        <w:t>《西峡县国有企业投资监督管理办法（试行）的通知》和《西峡县县属国有企业进人管理办法的通知》</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依法履行出资人职责，健全以管资本为主的国有资产监管体制，督促7家县属国有企业上缴利润。</w:t>
      </w:r>
    </w:p>
    <w:p w14:paraId="2CE9AE2A">
      <w:pPr>
        <w:keepNext w:val="0"/>
        <w:keepLines w:val="0"/>
        <w:pageBreakBefore w:val="0"/>
        <w:widowControl w:val="0"/>
        <w:kinsoku/>
        <w:wordWrap/>
        <w:overflowPunct/>
        <w:topLinePunct/>
        <w:autoSpaceDE w:val="0"/>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刚刚过去的2025年是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十四五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规划的收官之年，回顾过去的五年，积极的财政政策成效明显，财政实力持续增强，政策效能不断提升，为全</w:t>
      </w:r>
      <w:r>
        <w:rPr>
          <w:rFonts w:hint="eastAsia" w:ascii="仿宋_GB2312" w:hAnsi="仿宋_GB2312" w:eastAsia="仿宋_GB2312" w:cs="仿宋_GB2312"/>
          <w:sz w:val="32"/>
          <w:szCs w:val="32"/>
          <w:lang w:val="en-US" w:eastAsia="zh-CN"/>
        </w:rPr>
        <w:t>县</w:t>
      </w:r>
      <w:r>
        <w:rPr>
          <w:rFonts w:hint="eastAsia" w:ascii="仿宋_GB2312" w:hAnsi="仿宋_GB2312" w:eastAsia="仿宋_GB2312" w:cs="仿宋_GB2312"/>
          <w:sz w:val="32"/>
          <w:szCs w:val="32"/>
        </w:rPr>
        <w:t>经济社会发展大局提供了坚实的保障。</w:t>
      </w:r>
      <w:r>
        <w:rPr>
          <w:rFonts w:hint="eastAsia" w:ascii="仿宋_GB2312" w:hAnsi="仿宋_GB2312" w:eastAsia="仿宋_GB2312" w:cs="仿宋_GB2312"/>
          <w:b/>
          <w:bCs/>
          <w:sz w:val="32"/>
          <w:szCs w:val="32"/>
        </w:rPr>
        <w:t>一是财政综合实力</w:t>
      </w:r>
      <w:r>
        <w:rPr>
          <w:rFonts w:hint="eastAsia" w:ascii="仿宋_GB2312" w:hAnsi="仿宋_GB2312" w:eastAsia="仿宋_GB2312" w:cs="仿宋_GB2312"/>
          <w:b/>
          <w:bCs/>
          <w:sz w:val="32"/>
          <w:szCs w:val="32"/>
          <w:lang w:val="en-US" w:eastAsia="zh-CN"/>
        </w:rPr>
        <w:t>进一步夯实</w:t>
      </w:r>
      <w:r>
        <w:rPr>
          <w:rFonts w:hint="eastAsia" w:ascii="仿宋_GB2312" w:hAnsi="仿宋_GB2312" w:eastAsia="仿宋_GB2312" w:cs="仿宋_GB2312"/>
          <w:b/>
          <w:bCs/>
          <w:sz w:val="32"/>
          <w:szCs w:val="32"/>
        </w:rPr>
        <w:t>。</w:t>
      </w:r>
      <w:r>
        <w:rPr>
          <w:rFonts w:hint="eastAsia" w:ascii="仿宋_GB2312" w:hAnsi="仿宋_GB2312" w:eastAsia="仿宋_GB2312" w:cs="仿宋_GB2312"/>
          <w:b w:val="0"/>
          <w:bCs/>
          <w:color w:val="auto"/>
          <w:sz w:val="32"/>
          <w:szCs w:val="32"/>
          <w:highlight w:val="none"/>
        </w:rPr>
        <w:t>“十</w:t>
      </w:r>
      <w:r>
        <w:rPr>
          <w:rFonts w:hint="eastAsia" w:ascii="仿宋_GB2312" w:hAnsi="仿宋_GB2312" w:eastAsia="仿宋_GB2312" w:cs="仿宋_GB2312"/>
          <w:b w:val="0"/>
          <w:bCs/>
          <w:color w:val="auto"/>
          <w:sz w:val="32"/>
          <w:szCs w:val="32"/>
          <w:highlight w:val="none"/>
          <w:lang w:val="en-US" w:eastAsia="zh-CN"/>
        </w:rPr>
        <w:t>四</w:t>
      </w:r>
      <w:r>
        <w:rPr>
          <w:rFonts w:hint="eastAsia" w:ascii="仿宋_GB2312" w:hAnsi="仿宋_GB2312" w:eastAsia="仿宋_GB2312" w:cs="仿宋_GB2312"/>
          <w:b w:val="0"/>
          <w:bCs/>
          <w:color w:val="auto"/>
          <w:sz w:val="32"/>
          <w:szCs w:val="32"/>
          <w:highlight w:val="none"/>
        </w:rPr>
        <w:t>五”时期，在实施积极的财政政策的背景下，多措并举，合理确定收入目标，积极开展综合治税，加强税收征管，规范非税收入管理，促进均衡支出</w:t>
      </w:r>
      <w:r>
        <w:rPr>
          <w:rFonts w:hint="eastAsia" w:ascii="仿宋_GB2312" w:hAnsi="仿宋_GB2312" w:eastAsia="仿宋_GB2312" w:cs="仿宋_GB2312"/>
          <w:b w:val="0"/>
          <w:bCs/>
          <w:color w:val="auto"/>
          <w:sz w:val="32"/>
          <w:szCs w:val="32"/>
          <w:highlight w:val="none"/>
          <w:lang w:eastAsia="zh-CN"/>
        </w:rPr>
        <w:t>。</w:t>
      </w:r>
      <w:r>
        <w:rPr>
          <w:rFonts w:hint="eastAsia" w:ascii="仿宋_GB2312" w:hAnsi="仿宋_GB2312" w:eastAsia="仿宋_GB2312" w:cs="仿宋_GB2312"/>
          <w:b/>
          <w:bCs/>
          <w:sz w:val="32"/>
          <w:szCs w:val="32"/>
        </w:rPr>
        <w:t>二是服务发展大局彰显新作为。</w:t>
      </w:r>
      <w:r>
        <w:rPr>
          <w:rFonts w:hint="eastAsia" w:ascii="仿宋_GB2312" w:hAnsi="仿宋_GB2312" w:eastAsia="仿宋_GB2312" w:cs="仿宋_GB2312"/>
          <w:b w:val="0"/>
          <w:bCs/>
          <w:color w:val="auto"/>
          <w:sz w:val="32"/>
          <w:szCs w:val="32"/>
          <w:highlight w:val="none"/>
          <w:lang w:val="en-US" w:eastAsia="zh-CN"/>
        </w:rPr>
        <w:t>县</w:t>
      </w:r>
      <w:r>
        <w:rPr>
          <w:rFonts w:hint="eastAsia" w:ascii="仿宋_GB2312" w:hAnsi="仿宋_GB2312" w:eastAsia="仿宋_GB2312" w:cs="仿宋_GB2312"/>
          <w:b w:val="0"/>
          <w:bCs/>
          <w:color w:val="auto"/>
          <w:sz w:val="32"/>
          <w:szCs w:val="32"/>
          <w:highlight w:val="none"/>
        </w:rPr>
        <w:t>级统筹整合财政资金，为顺利推进</w:t>
      </w:r>
      <w:r>
        <w:rPr>
          <w:rFonts w:hint="eastAsia" w:ascii="仿宋_GB2312" w:hAnsi="仿宋_GB2312" w:eastAsia="仿宋_GB2312" w:cs="仿宋_GB2312"/>
          <w:b w:val="0"/>
          <w:bCs/>
          <w:color w:val="auto"/>
          <w:sz w:val="32"/>
          <w:szCs w:val="32"/>
          <w:highlight w:val="none"/>
          <w:lang w:val="en-US" w:eastAsia="zh-CN"/>
        </w:rPr>
        <w:t>县</w:t>
      </w:r>
      <w:r>
        <w:rPr>
          <w:rFonts w:hint="eastAsia" w:ascii="仿宋_GB2312" w:hAnsi="仿宋_GB2312" w:eastAsia="仿宋_GB2312" w:cs="仿宋_GB2312"/>
          <w:b w:val="0"/>
          <w:bCs/>
          <w:color w:val="auto"/>
          <w:sz w:val="32"/>
          <w:szCs w:val="32"/>
          <w:highlight w:val="none"/>
        </w:rPr>
        <w:t>委</w:t>
      </w:r>
      <w:r>
        <w:rPr>
          <w:rFonts w:hint="eastAsia" w:ascii="仿宋_GB2312" w:hAnsi="仿宋_GB2312" w:eastAsia="仿宋_GB2312" w:cs="仿宋_GB2312"/>
          <w:b w:val="0"/>
          <w:bCs/>
          <w:color w:val="auto"/>
          <w:sz w:val="32"/>
          <w:szCs w:val="32"/>
          <w:highlight w:val="none"/>
          <w:lang w:val="en-US" w:eastAsia="zh-CN"/>
        </w:rPr>
        <w:t>县</w:t>
      </w:r>
      <w:r>
        <w:rPr>
          <w:rFonts w:hint="eastAsia" w:ascii="仿宋_GB2312" w:hAnsi="仿宋_GB2312" w:eastAsia="仿宋_GB2312" w:cs="仿宋_GB2312"/>
          <w:b w:val="0"/>
          <w:bCs/>
          <w:color w:val="auto"/>
          <w:sz w:val="32"/>
          <w:szCs w:val="32"/>
          <w:highlight w:val="none"/>
        </w:rPr>
        <w:t>政府重大战略部署提供了坚强保障</w:t>
      </w:r>
      <w:r>
        <w:rPr>
          <w:rFonts w:hint="eastAsia" w:ascii="仿宋_GB2312" w:hAnsi="仿宋_GB2312" w:eastAsia="仿宋_GB2312" w:cs="仿宋_GB2312"/>
          <w:sz w:val="32"/>
          <w:szCs w:val="32"/>
        </w:rPr>
        <w:t>。充分发挥专项债券强基础、补短板、惠民生、扩投资等积极作用，</w:t>
      </w:r>
      <w:r>
        <w:rPr>
          <w:rFonts w:hint="eastAsia" w:ascii="仿宋_GB2312" w:hAnsi="仿宋_GB2312" w:eastAsia="仿宋_GB2312" w:cs="仿宋_GB2312"/>
          <w:b w:val="0"/>
          <w:bCs/>
          <w:color w:val="auto"/>
          <w:sz w:val="32"/>
          <w:szCs w:val="32"/>
          <w:highlight w:val="none"/>
        </w:rPr>
        <w:t>累计发行地方政府债券</w:t>
      </w:r>
      <w:r>
        <w:rPr>
          <w:rFonts w:hint="eastAsia" w:ascii="仿宋_GB2312" w:hAnsi="仿宋_GB2312" w:eastAsia="仿宋_GB2312" w:cs="仿宋_GB2312"/>
          <w:b w:val="0"/>
          <w:bCs/>
          <w:color w:val="auto"/>
          <w:sz w:val="32"/>
          <w:szCs w:val="32"/>
          <w:highlight w:val="none"/>
          <w:lang w:val="en-US" w:eastAsia="zh-CN"/>
        </w:rPr>
        <w:t>51.72</w:t>
      </w:r>
      <w:r>
        <w:rPr>
          <w:rFonts w:hint="eastAsia" w:ascii="仿宋_GB2312" w:hAnsi="仿宋_GB2312" w:eastAsia="仿宋_GB2312" w:cs="仿宋_GB2312"/>
          <w:b w:val="0"/>
          <w:bCs/>
          <w:color w:val="auto"/>
          <w:sz w:val="32"/>
          <w:szCs w:val="32"/>
          <w:highlight w:val="none"/>
        </w:rPr>
        <w:t>亿元。</w:t>
      </w:r>
      <w:r>
        <w:rPr>
          <w:rFonts w:hint="eastAsia" w:ascii="仿宋_GB2312" w:hAnsi="仿宋_GB2312" w:eastAsia="仿宋_GB2312" w:cs="仿宋_GB2312"/>
          <w:b/>
          <w:bCs w:val="0"/>
          <w:color w:val="auto"/>
          <w:sz w:val="32"/>
          <w:szCs w:val="32"/>
          <w:highlight w:val="none"/>
          <w:lang w:val="en-US" w:eastAsia="zh-CN"/>
        </w:rPr>
        <w:t>三</w:t>
      </w:r>
      <w:r>
        <w:rPr>
          <w:rFonts w:hint="eastAsia" w:ascii="仿宋_GB2312" w:hAnsi="仿宋_GB2312" w:eastAsia="仿宋_GB2312" w:cs="仿宋_GB2312"/>
          <w:b/>
          <w:bCs w:val="0"/>
          <w:sz w:val="32"/>
          <w:szCs w:val="32"/>
        </w:rPr>
        <w:t>是</w:t>
      </w:r>
      <w:r>
        <w:rPr>
          <w:rFonts w:hint="eastAsia" w:ascii="仿宋_GB2312" w:hAnsi="仿宋_GB2312" w:eastAsia="仿宋_GB2312" w:cs="仿宋_GB2312"/>
          <w:b/>
          <w:bCs/>
          <w:sz w:val="32"/>
          <w:szCs w:val="32"/>
        </w:rPr>
        <w:t>增进民生福祉达到新水平。</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b w:val="0"/>
          <w:bCs w:val="0"/>
          <w:sz w:val="32"/>
          <w:szCs w:val="32"/>
          <w:highlight w:val="none"/>
        </w:rPr>
        <w:t>十四五</w:t>
      </w:r>
      <w:r>
        <w:rPr>
          <w:rFonts w:hint="eastAsia" w:ascii="仿宋_GB2312" w:hAnsi="仿宋_GB2312" w:eastAsia="仿宋_GB2312" w:cs="仿宋_GB2312"/>
          <w:b w:val="0"/>
          <w:bCs w:val="0"/>
          <w:sz w:val="32"/>
          <w:szCs w:val="32"/>
          <w:highlight w:val="none"/>
          <w:lang w:eastAsia="zh-CN"/>
        </w:rPr>
        <w:t>”</w:t>
      </w:r>
      <w:r>
        <w:rPr>
          <w:rFonts w:hint="eastAsia" w:ascii="仿宋_GB2312" w:hAnsi="仿宋_GB2312" w:eastAsia="仿宋_GB2312" w:cs="仿宋_GB2312"/>
          <w:sz w:val="32"/>
          <w:szCs w:val="32"/>
          <w:highlight w:val="none"/>
        </w:rPr>
        <w:t>时期，全</w:t>
      </w:r>
      <w:r>
        <w:rPr>
          <w:rFonts w:hint="eastAsia" w:ascii="仿宋_GB2312" w:hAnsi="仿宋_GB2312" w:eastAsia="仿宋_GB2312" w:cs="仿宋_GB2312"/>
          <w:sz w:val="32"/>
          <w:szCs w:val="32"/>
          <w:highlight w:val="none"/>
          <w:lang w:val="en-US" w:eastAsia="zh-CN"/>
        </w:rPr>
        <w:t>县</w:t>
      </w:r>
      <w:r>
        <w:rPr>
          <w:rFonts w:hint="eastAsia" w:ascii="仿宋_GB2312" w:hAnsi="仿宋_GB2312" w:eastAsia="仿宋_GB2312" w:cs="仿宋_GB2312"/>
          <w:sz w:val="32"/>
          <w:szCs w:val="32"/>
          <w:highlight w:val="none"/>
        </w:rPr>
        <w:t>民生支出累计达</w:t>
      </w:r>
      <w:r>
        <w:rPr>
          <w:rFonts w:hint="eastAsia" w:ascii="仿宋_GB2312" w:hAnsi="仿宋_GB2312" w:eastAsia="仿宋_GB2312" w:cs="仿宋_GB2312"/>
          <w:sz w:val="32"/>
          <w:szCs w:val="32"/>
          <w:highlight w:val="none"/>
          <w:lang w:val="en-US" w:eastAsia="zh-CN"/>
        </w:rPr>
        <w:t>184</w:t>
      </w:r>
      <w:r>
        <w:rPr>
          <w:rFonts w:hint="eastAsia" w:ascii="仿宋_GB2312" w:hAnsi="仿宋_GB2312" w:eastAsia="仿宋_GB2312" w:cs="仿宋_GB2312"/>
          <w:sz w:val="32"/>
          <w:szCs w:val="32"/>
          <w:highlight w:val="none"/>
        </w:rPr>
        <w:t>亿元，占一般公共预算支出的比重稳定在</w:t>
      </w:r>
      <w:r>
        <w:rPr>
          <w:rFonts w:hint="eastAsia" w:ascii="仿宋_GB2312" w:hAnsi="仿宋_GB2312" w:eastAsia="仿宋_GB2312" w:cs="仿宋_GB2312"/>
          <w:sz w:val="32"/>
          <w:szCs w:val="32"/>
          <w:highlight w:val="none"/>
          <w:lang w:val="en-US" w:eastAsia="zh-CN"/>
        </w:rPr>
        <w:t>83</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左右</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rPr>
        <w:t>在财政十分困难情况下，教育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养老、医疗、社保等民生保障水平逐年提高，人民群众获得感、幸福感和安全感显著增强。</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rPr>
        <w:t>是风险防范化解取得新成效。</w:t>
      </w:r>
      <w:r>
        <w:rPr>
          <w:rFonts w:hint="eastAsia" w:ascii="仿宋_GB2312" w:hAnsi="仿宋_GB2312" w:eastAsia="仿宋_GB2312" w:cs="仿宋_GB2312"/>
          <w:sz w:val="32"/>
          <w:szCs w:val="32"/>
        </w:rPr>
        <w:t>用好</w:t>
      </w:r>
      <w:r>
        <w:rPr>
          <w:rFonts w:hint="eastAsia" w:ascii="仿宋_GB2312" w:hAnsi="仿宋_GB2312" w:eastAsia="仿宋_GB2312" w:cs="仿宋_GB2312"/>
          <w:sz w:val="32"/>
          <w:szCs w:val="32"/>
          <w:lang w:val="en-US" w:eastAsia="zh-CN"/>
        </w:rPr>
        <w:t>上级</w:t>
      </w:r>
      <w:r>
        <w:rPr>
          <w:rFonts w:hint="eastAsia" w:ascii="仿宋_GB2312" w:hAnsi="仿宋_GB2312" w:eastAsia="仿宋_GB2312" w:cs="仿宋_GB2312"/>
          <w:sz w:val="32"/>
          <w:szCs w:val="32"/>
        </w:rPr>
        <w:t>支持化债政策，有序推进存量隐性债务化解、政府拖欠企业账款清理和融资平台转型退出，法定债务按时足额还本付息，</w:t>
      </w:r>
      <w:r>
        <w:rPr>
          <w:rFonts w:hint="eastAsia" w:ascii="仿宋_GB2312" w:hAnsi="仿宋_GB2312" w:eastAsia="仿宋_GB2312" w:cs="仿宋_GB2312"/>
          <w:sz w:val="32"/>
          <w:szCs w:val="32"/>
          <w:lang w:val="en-US" w:eastAsia="zh-CN"/>
        </w:rPr>
        <w:t>全县</w:t>
      </w:r>
      <w:r>
        <w:rPr>
          <w:rFonts w:hint="eastAsia" w:ascii="仿宋_GB2312" w:hAnsi="仿宋_GB2312" w:eastAsia="仿宋_GB2312" w:cs="仿宋_GB2312"/>
          <w:sz w:val="32"/>
          <w:szCs w:val="32"/>
        </w:rPr>
        <w:t>债务结构趋于优化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将基层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三保</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作为财政工作头等大事，</w:t>
      </w:r>
      <w:r>
        <w:rPr>
          <w:rFonts w:hint="eastAsia" w:ascii="仿宋_GB2312" w:hAnsi="仿宋_GB2312" w:eastAsia="仿宋_GB2312" w:cs="仿宋_GB2312"/>
          <w:sz w:val="32"/>
          <w:szCs w:val="32"/>
          <w:lang w:val="en-US" w:eastAsia="zh-CN"/>
        </w:rPr>
        <w:t>全力筹措资金，</w:t>
      </w:r>
      <w:r>
        <w:rPr>
          <w:rFonts w:hint="eastAsia" w:ascii="仿宋_GB2312" w:hAnsi="仿宋_GB2312" w:eastAsia="仿宋_GB2312" w:cs="仿宋_GB2312"/>
          <w:sz w:val="32"/>
          <w:szCs w:val="32"/>
        </w:rPr>
        <w:t>健全保障机制，</w:t>
      </w:r>
      <w:r>
        <w:rPr>
          <w:rFonts w:hint="eastAsia" w:ascii="仿宋_GB2312" w:hAnsi="仿宋_GB2312" w:eastAsia="仿宋_GB2312" w:cs="仿宋_GB2312"/>
          <w:sz w:val="32"/>
          <w:szCs w:val="32"/>
          <w:lang w:val="en-US" w:eastAsia="zh-CN"/>
        </w:rPr>
        <w:t>全县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三保</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大局总体平稳。</w:t>
      </w: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是财政治理效能实现新提升。</w:t>
      </w:r>
      <w:r>
        <w:rPr>
          <w:rFonts w:hint="eastAsia" w:ascii="仿宋_GB2312" w:hAnsi="仿宋_GB2312" w:eastAsia="仿宋_GB2312" w:cs="仿宋_GB2312"/>
          <w:color w:val="auto"/>
          <w:kern w:val="0"/>
          <w:sz w:val="32"/>
          <w:szCs w:val="32"/>
        </w:rPr>
        <w:t>全面落实省直管县财政体制改革，圆满</w:t>
      </w:r>
      <w:r>
        <w:rPr>
          <w:rFonts w:hint="eastAsia" w:ascii="仿宋_GB2312" w:hAnsi="宋体" w:eastAsia="仿宋_GB2312" w:cs="仿宋_GB2312"/>
          <w:color w:val="auto"/>
          <w:kern w:val="0"/>
          <w:sz w:val="32"/>
          <w:szCs w:val="32"/>
        </w:rPr>
        <w:t>完成财政体制改革收入类基数和共同财政事权支出类基数核定划转，保障</w:t>
      </w:r>
      <w:r>
        <w:rPr>
          <w:rFonts w:hint="eastAsia" w:ascii="仿宋_GB2312" w:eastAsia="仿宋_GB2312"/>
          <w:color w:val="auto"/>
          <w:kern w:val="0"/>
          <w:sz w:val="32"/>
          <w:szCs w:val="32"/>
        </w:rPr>
        <w:t>预算管理一体化系统平稳运行</w:t>
      </w:r>
      <w:r>
        <w:rPr>
          <w:rFonts w:hint="eastAsia" w:ascii="仿宋_GB2312" w:hAnsi="仿宋_GB2312" w:eastAsia="仿宋_GB2312" w:cs="仿宋_GB2312"/>
          <w:color w:val="auto"/>
          <w:kern w:val="0"/>
          <w:sz w:val="32"/>
          <w:szCs w:val="32"/>
        </w:rPr>
        <w:t>。</w:t>
      </w:r>
      <w:r>
        <w:rPr>
          <w:rFonts w:hint="eastAsia" w:ascii="仿宋_GB2312" w:eastAsia="仿宋_GB2312"/>
          <w:bCs/>
          <w:color w:val="auto"/>
          <w:sz w:val="32"/>
          <w:szCs w:val="32"/>
        </w:rPr>
        <w:t>扎实推进财政电子票据改革，</w:t>
      </w:r>
      <w:r>
        <w:rPr>
          <w:rFonts w:hint="eastAsia" w:ascii="仿宋_GB2312" w:hAnsi="仿宋_GB2312" w:eastAsia="仿宋_GB2312" w:cs="仿宋_GB2312"/>
          <w:color w:val="auto"/>
          <w:sz w:val="32"/>
          <w:szCs w:val="32"/>
        </w:rPr>
        <w:t>全县已</w:t>
      </w:r>
      <w:r>
        <w:rPr>
          <w:rFonts w:hint="eastAsia" w:ascii="仿宋_GB2312" w:eastAsia="仿宋_GB2312"/>
          <w:bCs/>
          <w:color w:val="auto"/>
          <w:sz w:val="32"/>
          <w:szCs w:val="32"/>
        </w:rPr>
        <w:t>实现了“电子开票、自动核销、全程跟踪、源头控制”。</w:t>
      </w:r>
      <w:r>
        <w:rPr>
          <w:rFonts w:hint="eastAsia" w:ascii="仿宋_GB2312" w:hAnsi="仿宋_GB2312" w:eastAsia="仿宋_GB2312" w:cs="仿宋_GB2312"/>
          <w:sz w:val="32"/>
          <w:szCs w:val="32"/>
        </w:rPr>
        <w:t>预算绩效管理的广度和深度不断拓展</w:t>
      </w:r>
      <w:r>
        <w:rPr>
          <w:rFonts w:hint="eastAsia" w:ascii="仿宋_GB2312" w:hAnsi="仿宋_GB2312" w:eastAsia="仿宋_GB2312" w:cs="仿宋_GB2312"/>
          <w:sz w:val="32"/>
          <w:szCs w:val="32"/>
          <w:lang w:eastAsia="zh-CN"/>
        </w:rPr>
        <w:t>，</w:t>
      </w:r>
      <w:r>
        <w:rPr>
          <w:rFonts w:hint="eastAsia" w:ascii="仿宋_GB2312" w:hAnsi="宋体" w:eastAsia="仿宋_GB2312" w:cs="仿宋_GB2312"/>
          <w:color w:val="auto"/>
          <w:kern w:val="0"/>
          <w:sz w:val="32"/>
          <w:szCs w:val="32"/>
        </w:rPr>
        <w:t>建立了全方位、全过程、全覆盖的预算绩效闭环管理体系。</w:t>
      </w:r>
      <w:r>
        <w:rPr>
          <w:rFonts w:hint="eastAsia" w:ascii="仿宋_GB2312" w:hAnsi="仿宋_GB2312" w:eastAsia="仿宋_GB2312" w:cs="仿宋_GB2312"/>
          <w:sz w:val="32"/>
          <w:szCs w:val="32"/>
        </w:rPr>
        <w:t>过紧日子的制度体系持续健全。财会监督工作得到加强，财经秩序持续好转。</w:t>
      </w:r>
    </w:p>
    <w:p w14:paraId="027D75F8">
      <w:pPr>
        <w:keepNext w:val="0"/>
        <w:keepLines w:val="0"/>
        <w:pageBreakBefore w:val="0"/>
        <w:widowControl w:val="0"/>
        <w:kinsoku/>
        <w:wordWrap/>
        <w:overflowPunct/>
        <w:topLinePunct/>
        <w:autoSpaceDE w:val="0"/>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这些成绩的取得，</w:t>
      </w:r>
      <w:r>
        <w:rPr>
          <w:rFonts w:hint="eastAsia" w:ascii="仿宋_GB2312" w:hAnsi="宋体" w:eastAsia="仿宋_GB2312" w:cs="仿宋_GB2312"/>
          <w:kern w:val="0"/>
          <w:sz w:val="32"/>
          <w:szCs w:val="32"/>
        </w:rPr>
        <w:t>是</w:t>
      </w:r>
      <w:r>
        <w:rPr>
          <w:rFonts w:hint="eastAsia" w:ascii="仿宋_GB2312" w:hAnsi="宋体" w:eastAsia="仿宋_GB2312" w:cs="仿宋_GB2312"/>
          <w:kern w:val="0"/>
          <w:sz w:val="32"/>
          <w:szCs w:val="32"/>
          <w:lang w:val="en-US" w:eastAsia="zh-CN"/>
        </w:rPr>
        <w:t>在</w:t>
      </w:r>
      <w:r>
        <w:rPr>
          <w:rFonts w:hint="eastAsia" w:ascii="仿宋_GB2312" w:hAnsi="宋体" w:eastAsia="仿宋_GB2312" w:cs="仿宋_GB2312"/>
          <w:kern w:val="0"/>
          <w:sz w:val="32"/>
          <w:szCs w:val="32"/>
        </w:rPr>
        <w:t>习近平新时代中国特色社会主义思想的科学指引下，县委坚强领导、科学决策的结果，是县人大、县政协及代表委员们从严监督、大力指导的结果，是各级、各部门凝心聚力、奋勇拼搏的结果。</w:t>
      </w:r>
      <w:r>
        <w:rPr>
          <w:rFonts w:hint="eastAsia" w:ascii="仿宋_GB2312" w:hAnsi="仿宋_GB2312" w:eastAsia="仿宋_GB2312" w:cs="仿宋_GB2312"/>
          <w:sz w:val="32"/>
          <w:szCs w:val="32"/>
        </w:rPr>
        <w:t>但我们也清醒地认识到，财政运行和财政工作中还面临一些问题和挑战:</w:t>
      </w:r>
      <w:r>
        <w:rPr>
          <w:rFonts w:hint="eastAsia" w:ascii="仿宋_GB2312" w:hAnsi="宋体" w:eastAsia="仿宋_GB2312" w:cs="仿宋_GB2312"/>
          <w:kern w:val="0"/>
          <w:sz w:val="32"/>
          <w:szCs w:val="32"/>
          <w:lang w:val="en-US" w:eastAsia="zh-CN"/>
        </w:rPr>
        <w:t>财政收入增长乏力，财政支出“压力大”，</w:t>
      </w:r>
      <w:r>
        <w:rPr>
          <w:rFonts w:hint="eastAsia" w:ascii="仿宋_GB2312" w:hAnsi="宋体" w:eastAsia="仿宋_GB2312" w:cs="仿宋_GB2312"/>
          <w:kern w:val="0"/>
          <w:sz w:val="32"/>
          <w:szCs w:val="32"/>
        </w:rPr>
        <w:t>民生支出标准不断提高，各项政策性增支需求</w:t>
      </w:r>
      <w:r>
        <w:rPr>
          <w:rFonts w:hint="eastAsia" w:ascii="仿宋_GB2312" w:hAnsi="宋体" w:eastAsia="仿宋_GB2312" w:cs="仿宋_GB2312"/>
          <w:kern w:val="0"/>
          <w:sz w:val="32"/>
          <w:szCs w:val="32"/>
          <w:lang w:val="en-US" w:eastAsia="zh-CN"/>
        </w:rPr>
        <w:t>加大，</w:t>
      </w:r>
      <w:r>
        <w:rPr>
          <w:rFonts w:hint="eastAsia" w:ascii="仿宋_GB2312" w:hAnsi="宋体" w:eastAsia="仿宋_GB2312" w:cs="仿宋_GB2312"/>
          <w:kern w:val="0"/>
          <w:sz w:val="32"/>
          <w:szCs w:val="32"/>
        </w:rPr>
        <w:t>“三保”底线必须坚决兜牢，债务还本付息峰值到来，支持重大项目建设、产业转型升级等都需要大量资金投入，收支缺口持续扩大，预算平衡难度极大，库款保障水平始终处于紧运行状态。</w:t>
      </w:r>
      <w:r>
        <w:rPr>
          <w:rFonts w:hint="eastAsia" w:ascii="仿宋_GB2312" w:hAnsi="仿宋_GB2312" w:eastAsia="仿宋_GB2312" w:cs="仿宋_GB2312"/>
          <w:sz w:val="32"/>
          <w:szCs w:val="32"/>
        </w:rPr>
        <w:t>对此，我们一定高度重视，</w:t>
      </w:r>
      <w:r>
        <w:rPr>
          <w:rFonts w:hint="eastAsia" w:ascii="仿宋_GB2312" w:hAnsi="宋体" w:eastAsia="仿宋_GB2312" w:cs="仿宋_GB2312"/>
          <w:kern w:val="0"/>
          <w:sz w:val="32"/>
          <w:szCs w:val="32"/>
        </w:rPr>
        <w:t>正在积极</w:t>
      </w:r>
      <w:r>
        <w:rPr>
          <w:rFonts w:hint="eastAsia" w:ascii="仿宋_GB2312" w:hAnsi="仿宋_GB2312" w:eastAsia="仿宋_GB2312" w:cs="仿宋_GB2312"/>
          <w:sz w:val="32"/>
          <w:szCs w:val="32"/>
        </w:rPr>
        <w:t>采取有力措施认真加以解决。</w:t>
      </w:r>
    </w:p>
    <w:p w14:paraId="5ACE701C">
      <w:pPr>
        <w:keepNext w:val="0"/>
        <w:keepLines w:val="0"/>
        <w:pageBreakBefore w:val="0"/>
        <w:widowControl w:val="0"/>
        <w:kinsoku/>
        <w:wordWrap/>
        <w:overflowPunct w:val="0"/>
        <w:topLinePunct w:val="0"/>
        <w:bidi w:val="0"/>
        <w:adjustRightInd w:val="0"/>
        <w:snapToGrid w:val="0"/>
        <w:spacing w:line="560" w:lineRule="exact"/>
        <w:ind w:firstLine="640" w:firstLineChars="200"/>
        <w:textAlignment w:val="auto"/>
        <w:rPr>
          <w:rFonts w:ascii="仿宋_GB2312" w:hAnsi="宋体" w:eastAsia="仿宋_GB2312" w:cs="仿宋_GB2312"/>
          <w:kern w:val="0"/>
          <w:sz w:val="32"/>
          <w:szCs w:val="32"/>
        </w:rPr>
      </w:pPr>
      <w:r>
        <w:rPr>
          <w:rFonts w:hint="eastAsia" w:ascii="黑体" w:hAnsi="黑体" w:eastAsia="黑体" w:cs="黑体"/>
          <w:kern w:val="0"/>
          <w:sz w:val="32"/>
          <w:szCs w:val="32"/>
        </w:rPr>
        <w:t>二、</w:t>
      </w:r>
      <w:r>
        <w:rPr>
          <w:rFonts w:ascii="黑体" w:hAnsi="黑体" w:eastAsia="黑体" w:cs="黑体"/>
          <w:kern w:val="0"/>
          <w:sz w:val="32"/>
          <w:szCs w:val="32"/>
        </w:rPr>
        <w:t>202</w:t>
      </w:r>
      <w:r>
        <w:rPr>
          <w:rFonts w:hint="eastAsia" w:ascii="黑体" w:hAnsi="黑体" w:eastAsia="黑体" w:cs="黑体"/>
          <w:kern w:val="0"/>
          <w:sz w:val="32"/>
          <w:szCs w:val="32"/>
          <w:lang w:val="en-US" w:eastAsia="zh-CN"/>
        </w:rPr>
        <w:t>6</w:t>
      </w:r>
      <w:r>
        <w:rPr>
          <w:rFonts w:hint="eastAsia" w:ascii="黑体" w:hAnsi="黑体" w:eastAsia="黑体" w:cs="黑体"/>
          <w:kern w:val="0"/>
          <w:sz w:val="32"/>
          <w:szCs w:val="32"/>
        </w:rPr>
        <w:t>年预算草案情况</w:t>
      </w:r>
    </w:p>
    <w:p w14:paraId="49982BCE">
      <w:pPr>
        <w:keepNext w:val="0"/>
        <w:keepLines w:val="0"/>
        <w:pageBreakBefore w:val="0"/>
        <w:widowControl w:val="0"/>
        <w:kinsoku/>
        <w:wordWrap/>
        <w:overflowPunct w:val="0"/>
        <w:topLinePunct w:val="0"/>
        <w:bidi w:val="0"/>
        <w:adjustRightInd w:val="0"/>
        <w:snapToGrid w:val="0"/>
        <w:spacing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2026年是“十五五”规划开局之年，财政工作面临的不确定不稳定因素仍然较多，科学研判财政收支形势，合理编制财政预算，落实更加积极的财政政策并提高精准度和有效性，对于促进全</w:t>
      </w:r>
      <w:r>
        <w:rPr>
          <w:rFonts w:hint="eastAsia" w:ascii="仿宋_GB2312" w:hAnsi="仿宋_GB2312" w:eastAsia="仿宋_GB2312" w:cs="仿宋_GB2312"/>
          <w:kern w:val="0"/>
          <w:sz w:val="32"/>
          <w:szCs w:val="32"/>
          <w:lang w:val="en-US" w:eastAsia="zh-CN"/>
        </w:rPr>
        <w:t>县</w:t>
      </w:r>
      <w:r>
        <w:rPr>
          <w:rFonts w:hint="eastAsia" w:ascii="仿宋_GB2312" w:hAnsi="仿宋_GB2312" w:eastAsia="仿宋_GB2312" w:cs="仿宋_GB2312"/>
          <w:kern w:val="0"/>
          <w:sz w:val="32"/>
          <w:szCs w:val="32"/>
        </w:rPr>
        <w:t>经济平稳健康发展具有十分重要的意义。</w:t>
      </w:r>
    </w:p>
    <w:p w14:paraId="00C83443">
      <w:pPr>
        <w:keepNext w:val="0"/>
        <w:keepLines w:val="0"/>
        <w:pageBreakBefore w:val="0"/>
        <w:widowControl w:val="0"/>
        <w:tabs>
          <w:tab w:val="left" w:pos="1080"/>
        </w:tabs>
        <w:kinsoku/>
        <w:wordWrap/>
        <w:overflowPunct w:val="0"/>
        <w:topLinePunct w:val="0"/>
        <w:bidi w:val="0"/>
        <w:adjustRightInd w:val="0"/>
        <w:snapToGrid w:val="0"/>
        <w:spacing w:line="560" w:lineRule="exact"/>
        <w:ind w:firstLine="643" w:firstLineChars="200"/>
        <w:textAlignment w:val="auto"/>
        <w:rPr>
          <w:rFonts w:ascii="楷体_GB2312" w:hAnsi="文星楷体" w:eastAsia="楷体_GB2312"/>
          <w:b/>
          <w:kern w:val="0"/>
          <w:sz w:val="32"/>
          <w:szCs w:val="32"/>
        </w:rPr>
      </w:pPr>
      <w:r>
        <w:rPr>
          <w:rFonts w:hint="eastAsia" w:ascii="楷体_GB2312" w:hAnsi="文星楷体" w:eastAsia="楷体_GB2312"/>
          <w:b/>
          <w:kern w:val="0"/>
          <w:sz w:val="32"/>
          <w:szCs w:val="32"/>
        </w:rPr>
        <w:t>(一)编制2026年预算的总体要求</w:t>
      </w:r>
    </w:p>
    <w:p w14:paraId="7FFBAA1F">
      <w:pPr>
        <w:keepNext w:val="0"/>
        <w:keepLines w:val="0"/>
        <w:pageBreakBefore w:val="0"/>
        <w:widowControl w:val="0"/>
        <w:tabs>
          <w:tab w:val="left" w:pos="1080"/>
        </w:tabs>
        <w:kinsoku/>
        <w:wordWrap/>
        <w:overflowPunct w:val="0"/>
        <w:topLinePunct w:val="0"/>
        <w:bidi w:val="0"/>
        <w:adjustRightInd w:val="0"/>
        <w:snapToGrid w:val="0"/>
        <w:spacing w:line="560" w:lineRule="exact"/>
        <w:ind w:firstLine="640" w:firstLineChars="200"/>
        <w:textAlignment w:val="auto"/>
        <w:rPr>
          <w:rFonts w:hint="eastAsia" w:ascii="黑体" w:hAnsi="黑体" w:eastAsia="黑体" w:cs="黑体"/>
          <w:bCs/>
          <w:kern w:val="0"/>
          <w:sz w:val="32"/>
          <w:szCs w:val="32"/>
          <w:lang w:eastAsia="zh-CN"/>
        </w:rPr>
      </w:pPr>
      <w:r>
        <w:rPr>
          <w:rFonts w:hint="eastAsia" w:ascii="仿宋_GB2312" w:hAnsi="仿宋_GB2312" w:eastAsia="仿宋_GB2312" w:cs="仿宋_GB2312"/>
          <w:bCs/>
          <w:kern w:val="0"/>
          <w:sz w:val="32"/>
          <w:szCs w:val="32"/>
        </w:rPr>
        <w:t>编制2026年预算的指导思想是:</w:t>
      </w:r>
      <w:r>
        <w:rPr>
          <w:rFonts w:hint="eastAsia" w:ascii="黑体" w:hAnsi="黑体" w:eastAsia="黑体" w:cs="黑体"/>
          <w:bCs/>
          <w:kern w:val="0"/>
          <w:sz w:val="32"/>
          <w:szCs w:val="32"/>
        </w:rPr>
        <w:t>以习近平新时代中国特色社会主义思想为指导，深入贯彻党的二十大和二十届历次全会精神，按照中央</w:t>
      </w:r>
      <w:r>
        <w:rPr>
          <w:rFonts w:hint="eastAsia" w:ascii="黑体" w:hAnsi="黑体" w:eastAsia="黑体" w:cs="黑体"/>
          <w:bCs/>
          <w:kern w:val="0"/>
          <w:sz w:val="32"/>
          <w:szCs w:val="32"/>
          <w:lang w:val="en-US" w:eastAsia="zh-CN"/>
        </w:rPr>
        <w:t>经济</w:t>
      </w:r>
      <w:r>
        <w:rPr>
          <w:rFonts w:hint="eastAsia" w:ascii="黑体" w:hAnsi="黑体" w:eastAsia="黑体" w:cs="黑体"/>
          <w:bCs/>
          <w:kern w:val="0"/>
          <w:sz w:val="32"/>
          <w:szCs w:val="32"/>
        </w:rPr>
        <w:t>工作会议部署，完整准确全面贯彻新发展理念，加快构建新</w:t>
      </w:r>
      <w:r>
        <w:rPr>
          <w:rFonts w:hint="eastAsia" w:ascii="黑体" w:hAnsi="黑体" w:eastAsia="黑体" w:cs="黑体"/>
          <w:bCs/>
          <w:kern w:val="0"/>
          <w:sz w:val="32"/>
          <w:szCs w:val="32"/>
          <w:lang w:val="en-US" w:eastAsia="zh-CN"/>
        </w:rPr>
        <w:t>发展</w:t>
      </w:r>
      <w:r>
        <w:rPr>
          <w:rFonts w:hint="eastAsia" w:ascii="黑体" w:hAnsi="黑体" w:eastAsia="黑体" w:cs="黑体"/>
          <w:bCs/>
          <w:kern w:val="0"/>
          <w:sz w:val="32"/>
          <w:szCs w:val="32"/>
        </w:rPr>
        <w:t>格局，着力推动高质量发展，坚持稳中求进</w:t>
      </w:r>
      <w:r>
        <w:rPr>
          <w:rFonts w:hint="eastAsia" w:ascii="黑体" w:hAnsi="黑体" w:eastAsia="黑体" w:cs="黑体"/>
          <w:bCs/>
          <w:kern w:val="0"/>
          <w:sz w:val="32"/>
          <w:szCs w:val="32"/>
          <w:lang w:eastAsia="zh-CN"/>
        </w:rPr>
        <w:t>、</w:t>
      </w:r>
      <w:r>
        <w:rPr>
          <w:rFonts w:hint="eastAsia" w:ascii="黑体" w:hAnsi="黑体" w:eastAsia="黑体" w:cs="黑体"/>
          <w:bCs/>
          <w:color w:val="auto"/>
          <w:kern w:val="0"/>
          <w:sz w:val="32"/>
          <w:szCs w:val="32"/>
          <w:lang w:val="en-US" w:eastAsia="zh-CN"/>
        </w:rPr>
        <w:t>提质增效的</w:t>
      </w:r>
      <w:r>
        <w:rPr>
          <w:rFonts w:hint="eastAsia" w:ascii="黑体" w:hAnsi="黑体" w:eastAsia="黑体" w:cs="黑体"/>
          <w:bCs/>
          <w:color w:val="auto"/>
          <w:kern w:val="0"/>
          <w:sz w:val="32"/>
          <w:szCs w:val="32"/>
        </w:rPr>
        <w:t>工作总</w:t>
      </w:r>
      <w:r>
        <w:rPr>
          <w:rFonts w:hint="eastAsia" w:ascii="黑体" w:hAnsi="黑体" w:eastAsia="黑体" w:cs="黑体"/>
          <w:bCs/>
          <w:kern w:val="0"/>
          <w:sz w:val="32"/>
          <w:szCs w:val="32"/>
        </w:rPr>
        <w:t>基调，</w:t>
      </w:r>
      <w:r>
        <w:rPr>
          <w:rFonts w:hint="eastAsia" w:ascii="黑体" w:hAnsi="黑体" w:eastAsia="黑体" w:cs="黑体"/>
          <w:bCs/>
          <w:kern w:val="0"/>
          <w:sz w:val="32"/>
          <w:szCs w:val="32"/>
          <w:lang w:val="en-US" w:eastAsia="zh-CN"/>
        </w:rPr>
        <w:t>继续实施</w:t>
      </w:r>
      <w:r>
        <w:rPr>
          <w:rFonts w:hint="eastAsia" w:ascii="黑体" w:hAnsi="黑体" w:eastAsia="黑体" w:cs="黑体"/>
          <w:bCs/>
          <w:kern w:val="0"/>
          <w:sz w:val="32"/>
          <w:szCs w:val="32"/>
        </w:rPr>
        <w:t>更加积极的财政政策，更加注重精准发力、提高效能。加强财政科学管理，优化财政支出结构，</w:t>
      </w:r>
      <w:r>
        <w:rPr>
          <w:rFonts w:hint="eastAsia" w:ascii="黑体" w:hAnsi="黑体" w:eastAsia="黑体" w:cs="黑体"/>
          <w:bCs/>
          <w:kern w:val="0"/>
          <w:sz w:val="32"/>
          <w:szCs w:val="32"/>
          <w:lang w:val="en-US" w:eastAsia="zh-CN"/>
        </w:rPr>
        <w:t>规范税收</w:t>
      </w:r>
      <w:r>
        <w:rPr>
          <w:rFonts w:hint="eastAsia" w:ascii="黑体" w:hAnsi="黑体" w:eastAsia="黑体" w:cs="黑体"/>
          <w:bCs/>
          <w:kern w:val="0"/>
          <w:sz w:val="32"/>
          <w:szCs w:val="32"/>
        </w:rPr>
        <w:t>优惠、财政补贴政策，坚持党政机关过</w:t>
      </w:r>
      <w:r>
        <w:rPr>
          <w:rFonts w:hint="eastAsia" w:ascii="黑体" w:hAnsi="黑体" w:eastAsia="黑体" w:cs="黑体"/>
          <w:bCs/>
          <w:kern w:val="0"/>
          <w:sz w:val="32"/>
          <w:szCs w:val="32"/>
          <w:lang w:val="en-US" w:eastAsia="zh-CN"/>
        </w:rPr>
        <w:t>紧</w:t>
      </w:r>
      <w:r>
        <w:rPr>
          <w:rFonts w:hint="eastAsia" w:ascii="黑体" w:hAnsi="黑体" w:eastAsia="黑体" w:cs="黑体"/>
          <w:bCs/>
          <w:kern w:val="0"/>
          <w:sz w:val="32"/>
          <w:szCs w:val="32"/>
        </w:rPr>
        <w:t>日子，积极有序化解地方政府债务风险，扎实推进财税体制</w:t>
      </w:r>
      <w:r>
        <w:rPr>
          <w:rFonts w:hint="eastAsia" w:ascii="黑体" w:hAnsi="黑体" w:eastAsia="黑体" w:cs="黑体"/>
          <w:bCs/>
          <w:kern w:val="0"/>
          <w:sz w:val="32"/>
          <w:szCs w:val="32"/>
          <w:lang w:val="en-US" w:eastAsia="zh-CN"/>
        </w:rPr>
        <w:t>改革</w:t>
      </w:r>
      <w:r>
        <w:rPr>
          <w:rFonts w:hint="eastAsia" w:ascii="黑体" w:hAnsi="黑体" w:eastAsia="黑体" w:cs="黑体"/>
          <w:bCs/>
          <w:kern w:val="0"/>
          <w:sz w:val="32"/>
          <w:szCs w:val="32"/>
        </w:rPr>
        <w:t>，推动经济实现质的有效提升和量的合理增长，为实现“十五五”良好开局提供有力支撑</w:t>
      </w:r>
      <w:r>
        <w:rPr>
          <w:rFonts w:hint="eastAsia" w:ascii="黑体" w:hAnsi="黑体" w:eastAsia="黑体" w:cs="黑体"/>
          <w:bCs/>
          <w:kern w:val="0"/>
          <w:sz w:val="32"/>
          <w:szCs w:val="32"/>
          <w:lang w:eastAsia="zh-CN"/>
        </w:rPr>
        <w:t>。</w:t>
      </w:r>
    </w:p>
    <w:p w14:paraId="58847B68">
      <w:pPr>
        <w:keepNext w:val="0"/>
        <w:keepLines w:val="0"/>
        <w:pageBreakBefore w:val="0"/>
        <w:widowControl w:val="0"/>
        <w:kinsoku/>
        <w:wordWrap/>
        <w:overflowPunct/>
        <w:topLinePunct/>
        <w:autoSpaceDE w:val="0"/>
        <w:autoSpaceDN/>
        <w:bidi w:val="0"/>
        <w:adjustRightInd w:val="0"/>
        <w:snapToGrid w:val="0"/>
        <w:spacing w:line="560" w:lineRule="exact"/>
        <w:ind w:firstLine="640" w:firstLineChars="200"/>
        <w:textAlignment w:val="auto"/>
        <w:rPr>
          <w:rFonts w:hint="eastAsia" w:ascii="仿宋_GB2312" w:hAnsi="仿宋_GB2312" w:eastAsia="仿宋_GB2312" w:cs="仿宋_GB2312"/>
          <w:bCs/>
          <w:color w:val="auto"/>
          <w:kern w:val="0"/>
          <w:sz w:val="32"/>
          <w:szCs w:val="32"/>
        </w:rPr>
      </w:pPr>
      <w:r>
        <w:rPr>
          <w:rFonts w:hint="eastAsia" w:ascii="仿宋_GB2312" w:hAnsi="仿宋_GB2312" w:eastAsia="仿宋_GB2312" w:cs="仿宋_GB2312"/>
          <w:color w:val="auto"/>
          <w:sz w:val="32"/>
          <w:szCs w:val="32"/>
        </w:rPr>
        <w:t>做好2026年预算编制工作，重点把握以下原则:</w:t>
      </w:r>
      <w:r>
        <w:rPr>
          <w:rFonts w:hint="eastAsia" w:ascii="仿宋_GB2312" w:hAnsi="仿宋_GB2312" w:eastAsia="仿宋_GB2312" w:cs="仿宋_GB2312"/>
          <w:b/>
          <w:bCs/>
          <w:color w:val="auto"/>
          <w:sz w:val="32"/>
          <w:szCs w:val="32"/>
        </w:rPr>
        <w:t>一是</w:t>
      </w:r>
      <w:r>
        <w:rPr>
          <w:rFonts w:hint="eastAsia" w:ascii="仿宋_GB2312" w:hAnsi="仿宋_GB2312" w:eastAsia="仿宋_GB2312" w:cs="仿宋_GB2312"/>
          <w:b/>
          <w:bCs/>
          <w:color w:val="auto"/>
          <w:sz w:val="32"/>
          <w:szCs w:val="32"/>
          <w:lang w:val="en-US" w:eastAsia="zh-CN"/>
        </w:rPr>
        <w:t>加强</w:t>
      </w:r>
      <w:r>
        <w:rPr>
          <w:rFonts w:hint="eastAsia" w:ascii="仿宋_GB2312" w:hAnsi="仿宋_GB2312" w:eastAsia="仿宋_GB2312" w:cs="仿宋_GB2312"/>
          <w:color w:val="auto"/>
          <w:sz w:val="32"/>
          <w:szCs w:val="32"/>
        </w:rPr>
        <w:t>收入预算</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sz w:val="32"/>
          <w:szCs w:val="32"/>
        </w:rPr>
        <w:t>科学预测，与经济社会发展水平相适应，与更加积极的财政政策相衔接，强化财政资源统筹。</w:t>
      </w:r>
      <w:r>
        <w:rPr>
          <w:rFonts w:hint="eastAsia" w:ascii="仿宋_GB2312" w:hAnsi="仿宋_GB2312" w:eastAsia="仿宋_GB2312" w:cs="仿宋_GB2312"/>
          <w:b/>
          <w:bCs/>
          <w:color w:val="auto"/>
          <w:sz w:val="32"/>
          <w:szCs w:val="32"/>
        </w:rPr>
        <w:t>二是</w:t>
      </w:r>
      <w:r>
        <w:rPr>
          <w:rFonts w:hint="eastAsia" w:ascii="仿宋_GB2312" w:hAnsi="仿宋_GB2312" w:eastAsia="仿宋_GB2312" w:cs="仿宋_GB2312"/>
          <w:color w:val="auto"/>
          <w:sz w:val="32"/>
          <w:szCs w:val="32"/>
        </w:rPr>
        <w:t>支出预算提高效益，</w:t>
      </w:r>
      <w:r>
        <w:rPr>
          <w:rFonts w:hint="eastAsia" w:ascii="仿宋_GB2312" w:hAnsi="仿宋_GB2312" w:eastAsia="仿宋_GB2312" w:cs="仿宋_GB2312"/>
          <w:color w:val="auto"/>
          <w:sz w:val="32"/>
          <w:szCs w:val="32"/>
          <w:lang w:val="en-US" w:eastAsia="zh-CN"/>
        </w:rPr>
        <w:t>积极务实推进</w:t>
      </w:r>
      <w:r>
        <w:rPr>
          <w:rFonts w:hint="eastAsia" w:ascii="仿宋_GB2312" w:hAnsi="仿宋_GB2312" w:eastAsia="仿宋_GB2312" w:cs="仿宋_GB2312"/>
          <w:color w:val="auto"/>
          <w:sz w:val="32"/>
          <w:szCs w:val="32"/>
        </w:rPr>
        <w:t>零基预算</w:t>
      </w:r>
      <w:r>
        <w:rPr>
          <w:rFonts w:hint="eastAsia" w:ascii="仿宋_GB2312" w:hAnsi="仿宋_GB2312" w:eastAsia="仿宋_GB2312" w:cs="仿宋_GB2312"/>
          <w:color w:val="auto"/>
          <w:sz w:val="32"/>
          <w:szCs w:val="32"/>
          <w:lang w:val="en-US" w:eastAsia="zh-CN"/>
        </w:rPr>
        <w:t>改革</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贯彻落实中央经济工作会议精神，坚持投资于物和投资于人紧密结合，把</w:t>
      </w:r>
      <w:r>
        <w:rPr>
          <w:rFonts w:hint="eastAsia" w:ascii="仿宋_GB2312" w:hAnsi="仿宋_GB2312" w:eastAsia="仿宋_GB2312" w:cs="仿宋_GB2312"/>
          <w:color w:val="auto"/>
          <w:sz w:val="32"/>
          <w:szCs w:val="32"/>
        </w:rPr>
        <w:t>宝贵资金用在紧要处、刀刃上，强化重大战略和基本民生财力保障，更好发挥促消费、扩投资、惠民生作用。</w:t>
      </w:r>
      <w:r>
        <w:rPr>
          <w:rFonts w:hint="eastAsia" w:ascii="仿宋_GB2312" w:hAnsi="仿宋_GB2312" w:eastAsia="仿宋_GB2312" w:cs="仿宋_GB2312"/>
          <w:b/>
          <w:bCs/>
          <w:color w:val="auto"/>
          <w:sz w:val="32"/>
          <w:szCs w:val="32"/>
        </w:rPr>
        <w:t>三是</w:t>
      </w:r>
      <w:r>
        <w:rPr>
          <w:rFonts w:hint="eastAsia" w:ascii="仿宋_GB2312" w:hAnsi="仿宋_GB2312" w:eastAsia="仿宋_GB2312" w:cs="仿宋_GB2312"/>
          <w:color w:val="auto"/>
          <w:sz w:val="32"/>
          <w:szCs w:val="32"/>
        </w:rPr>
        <w:t>政府债务优化结构，提高政府债券资金使用效益，促进财政可持续。</w:t>
      </w:r>
      <w:r>
        <w:rPr>
          <w:rFonts w:hint="eastAsia" w:ascii="仿宋_GB2312" w:hAnsi="仿宋_GB2312" w:eastAsia="仿宋_GB2312" w:cs="仿宋_GB2312"/>
          <w:b/>
          <w:bCs/>
          <w:color w:val="auto"/>
          <w:sz w:val="32"/>
          <w:szCs w:val="32"/>
        </w:rPr>
        <w:t>四是</w:t>
      </w:r>
      <w:r>
        <w:rPr>
          <w:rFonts w:hint="eastAsia" w:ascii="仿宋_GB2312" w:hAnsi="仿宋_GB2312" w:eastAsia="仿宋_GB2312" w:cs="仿宋_GB2312"/>
          <w:color w:val="auto"/>
          <w:sz w:val="32"/>
          <w:szCs w:val="32"/>
        </w:rPr>
        <w:t>财政管理科学规范，完善预算管理机制，</w:t>
      </w:r>
      <w:r>
        <w:rPr>
          <w:rFonts w:hint="eastAsia" w:ascii="仿宋_GB2312" w:hAnsi="仿宋_GB2312" w:eastAsia="仿宋_GB2312" w:cs="仿宋_GB2312"/>
          <w:color w:val="auto"/>
          <w:sz w:val="32"/>
          <w:szCs w:val="32"/>
          <w:lang w:val="en-US" w:eastAsia="zh-CN"/>
        </w:rPr>
        <w:t>强化预算执行刚性约束，</w:t>
      </w:r>
      <w:r>
        <w:rPr>
          <w:rFonts w:hint="eastAsia" w:ascii="仿宋_GB2312" w:hAnsi="仿宋_GB2312" w:eastAsia="仿宋_GB2312" w:cs="仿宋_GB2312"/>
          <w:color w:val="auto"/>
          <w:sz w:val="32"/>
          <w:szCs w:val="32"/>
        </w:rPr>
        <w:t>加大财会监督力度，提升财政管理水平。</w:t>
      </w:r>
    </w:p>
    <w:p w14:paraId="39A4DCD7">
      <w:pPr>
        <w:keepNext w:val="0"/>
        <w:keepLines w:val="0"/>
        <w:pageBreakBefore w:val="0"/>
        <w:widowControl w:val="0"/>
        <w:tabs>
          <w:tab w:val="left" w:pos="1080"/>
        </w:tabs>
        <w:kinsoku/>
        <w:wordWrap/>
        <w:overflowPunct w:val="0"/>
        <w:topLinePunct w:val="0"/>
        <w:bidi w:val="0"/>
        <w:adjustRightInd w:val="0"/>
        <w:snapToGrid w:val="0"/>
        <w:spacing w:line="560" w:lineRule="exact"/>
        <w:ind w:firstLine="643" w:firstLineChars="200"/>
        <w:textAlignment w:val="auto"/>
        <w:rPr>
          <w:rFonts w:ascii="仿宋_GB2312" w:hAnsi="仿宋_GB2312" w:eastAsia="仿宋_GB2312" w:cs="仿宋_GB2312"/>
          <w:bCs/>
          <w:kern w:val="0"/>
          <w:sz w:val="32"/>
          <w:szCs w:val="32"/>
          <w:highlight w:val="none"/>
        </w:rPr>
      </w:pPr>
      <w:r>
        <w:rPr>
          <w:rFonts w:hint="eastAsia" w:ascii="楷体_GB2312" w:hAnsi="文星楷体" w:eastAsia="楷体_GB2312"/>
          <w:b/>
          <w:kern w:val="0"/>
          <w:sz w:val="32"/>
          <w:szCs w:val="32"/>
          <w:highlight w:val="none"/>
        </w:rPr>
        <w:t>（二）</w:t>
      </w:r>
      <w:r>
        <w:rPr>
          <w:rFonts w:ascii="楷体_GB2312" w:hAnsi="文星楷体" w:eastAsia="楷体_GB2312"/>
          <w:b/>
          <w:kern w:val="0"/>
          <w:sz w:val="32"/>
          <w:szCs w:val="32"/>
          <w:highlight w:val="none"/>
        </w:rPr>
        <w:t>202</w:t>
      </w:r>
      <w:r>
        <w:rPr>
          <w:rFonts w:hint="eastAsia" w:ascii="楷体_GB2312" w:hAnsi="文星楷体" w:eastAsia="楷体_GB2312"/>
          <w:b/>
          <w:kern w:val="0"/>
          <w:sz w:val="32"/>
          <w:szCs w:val="32"/>
          <w:highlight w:val="none"/>
          <w:lang w:val="en-US" w:eastAsia="zh-CN"/>
        </w:rPr>
        <w:t>6</w:t>
      </w:r>
      <w:r>
        <w:rPr>
          <w:rFonts w:hint="eastAsia" w:ascii="楷体_GB2312" w:hAnsi="文星楷体" w:eastAsia="楷体_GB2312"/>
          <w:b/>
          <w:kern w:val="0"/>
          <w:sz w:val="32"/>
          <w:szCs w:val="32"/>
          <w:highlight w:val="none"/>
        </w:rPr>
        <w:t>年财政经济形势</w:t>
      </w:r>
    </w:p>
    <w:p w14:paraId="28A1D293">
      <w:pPr>
        <w:keepNext w:val="0"/>
        <w:keepLines w:val="0"/>
        <w:pageBreakBefore w:val="0"/>
        <w:widowControl w:val="0"/>
        <w:tabs>
          <w:tab w:val="left" w:pos="1080"/>
        </w:tabs>
        <w:kinsoku/>
        <w:wordWrap/>
        <w:overflowPunct w:val="0"/>
        <w:topLinePunct w:val="0"/>
        <w:bidi w:val="0"/>
        <w:adjustRightInd w:val="0"/>
        <w:snapToGrid w:val="0"/>
        <w:spacing w:line="560" w:lineRule="exact"/>
        <w:ind w:firstLine="640" w:firstLineChars="200"/>
        <w:textAlignment w:val="auto"/>
        <w:rPr>
          <w:rFonts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从财政形势看，202</w:t>
      </w:r>
      <w:r>
        <w:rPr>
          <w:rFonts w:hint="eastAsia" w:ascii="仿宋_GB2312" w:hAnsi="仿宋_GB2312" w:eastAsia="仿宋_GB2312" w:cs="仿宋_GB2312"/>
          <w:bCs/>
          <w:kern w:val="0"/>
          <w:sz w:val="32"/>
          <w:szCs w:val="32"/>
          <w:highlight w:val="none"/>
          <w:lang w:val="en-US" w:eastAsia="zh-CN"/>
        </w:rPr>
        <w:t>6</w:t>
      </w:r>
      <w:r>
        <w:rPr>
          <w:rFonts w:hint="eastAsia" w:ascii="仿宋_GB2312" w:hAnsi="仿宋_GB2312" w:eastAsia="仿宋_GB2312" w:cs="仿宋_GB2312"/>
          <w:bCs/>
          <w:kern w:val="0"/>
          <w:sz w:val="32"/>
          <w:szCs w:val="32"/>
          <w:highlight w:val="none"/>
        </w:rPr>
        <w:t>年全县财政经济形势有利因素和不利因素并存，财政收支紧平衡特征更加明显。</w:t>
      </w:r>
    </w:p>
    <w:p w14:paraId="2C12FA84">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仿宋_GB2312" w:hAnsi="仿宋_GB2312" w:eastAsia="仿宋_GB2312" w:cs="仿宋_GB2312"/>
          <w:b/>
          <w:kern w:val="0"/>
          <w:sz w:val="32"/>
          <w:szCs w:val="32"/>
          <w:highlight w:val="red"/>
        </w:rPr>
      </w:pPr>
      <w:r>
        <w:rPr>
          <w:rFonts w:hint="eastAsia" w:ascii="仿宋_GB2312" w:hAnsi="仿宋_GB2312" w:eastAsia="仿宋_GB2312" w:cs="仿宋_GB2312"/>
          <w:b/>
          <w:bCs/>
          <w:sz w:val="32"/>
          <w:szCs w:val="40"/>
        </w:rPr>
        <w:t>从国际看，</w:t>
      </w:r>
      <w:r>
        <w:rPr>
          <w:rFonts w:hint="eastAsia" w:ascii="仿宋_GB2312" w:hAnsi="仿宋_GB2312" w:eastAsia="仿宋_GB2312" w:cs="仿宋_GB2312"/>
          <w:sz w:val="32"/>
          <w:szCs w:val="40"/>
          <w:highlight w:val="none"/>
        </w:rPr>
        <w:t>今年世界经济有望延续温和增长态势，但不确定不稳定因素突出。</w:t>
      </w:r>
      <w:r>
        <w:rPr>
          <w:rFonts w:hint="eastAsia" w:ascii="仿宋_GB2312" w:hAnsi="仿宋_GB2312" w:eastAsia="仿宋_GB2312" w:cs="仿宋_GB2312"/>
          <w:b/>
          <w:bCs/>
          <w:sz w:val="32"/>
          <w:szCs w:val="40"/>
        </w:rPr>
        <w:t>从国内看，</w:t>
      </w:r>
      <w:r>
        <w:rPr>
          <w:rFonts w:hint="eastAsia" w:ascii="仿宋_GB2312" w:hAnsi="仿宋_GB2312" w:eastAsia="仿宋_GB2312" w:cs="仿宋_GB2312"/>
          <w:sz w:val="32"/>
          <w:szCs w:val="40"/>
        </w:rPr>
        <w:t>我国经济长期向好的支撑条件和基本趋势没有变，</w:t>
      </w:r>
      <w:r>
        <w:rPr>
          <w:rFonts w:hint="eastAsia" w:ascii="仿宋_GB2312" w:hAnsi="仿宋_GB2312" w:eastAsia="仿宋_GB2312" w:cs="仿宋_GB2312"/>
          <w:color w:val="auto"/>
          <w:sz w:val="32"/>
          <w:szCs w:val="40"/>
          <w:lang w:val="en-US" w:eastAsia="zh-CN"/>
        </w:rPr>
        <w:t>加之中央重视解决地方财政困难，帮助基层兜牢“三保”底线的力度正在加强，政府隐性债务转化也在持续进行等有利因素正在向基层</w:t>
      </w:r>
      <w:r>
        <w:rPr>
          <w:rFonts w:hint="eastAsia" w:ascii="仿宋_GB2312" w:hAnsi="仿宋_GB2312" w:eastAsia="仿宋_GB2312" w:cs="仿宋_GB2312"/>
          <w:color w:val="auto"/>
          <w:sz w:val="32"/>
          <w:szCs w:val="40"/>
        </w:rPr>
        <w:t>传导。</w:t>
      </w:r>
      <w:r>
        <w:rPr>
          <w:rFonts w:hint="eastAsia" w:ascii="仿宋_GB2312" w:hAnsi="仿宋_GB2312" w:eastAsia="仿宋_GB2312" w:cs="仿宋_GB2312"/>
          <w:color w:val="auto"/>
          <w:sz w:val="32"/>
          <w:szCs w:val="40"/>
          <w:lang w:val="en-US" w:eastAsia="zh-CN"/>
        </w:rPr>
        <w:t>但同时也要认识到，</w:t>
      </w:r>
      <w:r>
        <w:rPr>
          <w:rFonts w:hint="eastAsia" w:ascii="仿宋_GB2312" w:hAnsi="仿宋_GB2312" w:eastAsia="仿宋_GB2312" w:cs="仿宋_GB2312"/>
          <w:sz w:val="32"/>
          <w:szCs w:val="40"/>
        </w:rPr>
        <w:t>国内供强需弱的矛盾依然突出，消费、投资增长动力不足，重点领域风险隐患较多</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b/>
          <w:bCs/>
          <w:sz w:val="32"/>
          <w:szCs w:val="40"/>
        </w:rPr>
        <w:t>从我省看，</w:t>
      </w:r>
      <w:r>
        <w:rPr>
          <w:rFonts w:hint="eastAsia" w:ascii="仿宋_GB2312" w:hAnsi="仿宋_GB2312" w:eastAsia="仿宋_GB2312" w:cs="仿宋_GB2312"/>
          <w:sz w:val="32"/>
          <w:szCs w:val="40"/>
        </w:rPr>
        <w:t>随着中央实施更加积极有为的宏观政策，支持经济大省挑大梁，必将为我省高质量发展提供强劲动能，也将为财政增收创造条件。</w:t>
      </w:r>
      <w:r>
        <w:rPr>
          <w:rFonts w:hint="eastAsia" w:ascii="仿宋_GB2312" w:hAnsi="仿宋_GB2312" w:eastAsia="仿宋_GB2312" w:cs="仿宋_GB2312"/>
          <w:b/>
          <w:bCs/>
          <w:sz w:val="32"/>
          <w:szCs w:val="40"/>
        </w:rPr>
        <w:t>从我</w:t>
      </w:r>
      <w:r>
        <w:rPr>
          <w:rFonts w:hint="eastAsia" w:ascii="仿宋_GB2312" w:hAnsi="仿宋_GB2312" w:eastAsia="仿宋_GB2312" w:cs="仿宋_GB2312"/>
          <w:b/>
          <w:bCs/>
          <w:sz w:val="32"/>
          <w:szCs w:val="40"/>
          <w:lang w:val="en-US" w:eastAsia="zh-CN"/>
        </w:rPr>
        <w:t>县</w:t>
      </w:r>
      <w:r>
        <w:rPr>
          <w:rFonts w:hint="eastAsia" w:ascii="仿宋_GB2312" w:hAnsi="仿宋_GB2312" w:eastAsia="仿宋_GB2312" w:cs="仿宋_GB2312"/>
          <w:b/>
          <w:bCs/>
          <w:sz w:val="32"/>
          <w:szCs w:val="40"/>
        </w:rPr>
        <w:t>看，</w:t>
      </w:r>
      <w:r>
        <w:rPr>
          <w:rFonts w:hint="eastAsia" w:ascii="仿宋_GB2312" w:hAnsi="仿宋_GB2312" w:eastAsia="仿宋_GB2312" w:cs="仿宋_GB2312"/>
          <w:bCs/>
          <w:kern w:val="0"/>
          <w:sz w:val="32"/>
          <w:szCs w:val="32"/>
          <w:highlight w:val="none"/>
        </w:rPr>
        <w:t>我县坚持产业立县、项目为王，积极推进</w:t>
      </w:r>
      <w:r>
        <w:rPr>
          <w:rFonts w:hint="eastAsia" w:ascii="仿宋_GB2312" w:hAnsi="仿宋_GB2312" w:eastAsia="仿宋_GB2312" w:cs="仿宋_GB2312"/>
          <w:bCs/>
          <w:kern w:val="0"/>
          <w:sz w:val="32"/>
          <w:szCs w:val="32"/>
          <w:highlight w:val="none"/>
          <w:lang w:eastAsia="zh-CN"/>
        </w:rPr>
        <w:t>培育制造业强县</w:t>
      </w:r>
      <w:r>
        <w:rPr>
          <w:rFonts w:hint="eastAsia" w:ascii="仿宋_GB2312" w:hAnsi="仿宋_GB2312" w:eastAsia="仿宋_GB2312" w:cs="仿宋_GB2312"/>
          <w:bCs/>
          <w:kern w:val="0"/>
          <w:sz w:val="32"/>
          <w:szCs w:val="32"/>
          <w:highlight w:val="none"/>
        </w:rPr>
        <w:t>，扩大有效投资</w:t>
      </w:r>
      <w:r>
        <w:rPr>
          <w:rFonts w:hint="eastAsia" w:ascii="仿宋_GB2312" w:hAnsi="仿宋_GB2312" w:eastAsia="仿宋_GB2312" w:cs="仿宋_GB2312"/>
          <w:bCs/>
          <w:kern w:val="0"/>
          <w:sz w:val="32"/>
          <w:szCs w:val="32"/>
          <w:highlight w:val="none"/>
          <w:lang w:eastAsia="zh-CN"/>
        </w:rPr>
        <w:t>，激发内需潜力</w:t>
      </w:r>
      <w:r>
        <w:rPr>
          <w:rFonts w:hint="eastAsia" w:ascii="仿宋_GB2312" w:hAnsi="仿宋_GB2312" w:eastAsia="仿宋_GB2312" w:cs="仿宋_GB2312"/>
          <w:bCs/>
          <w:kern w:val="0"/>
          <w:sz w:val="32"/>
          <w:szCs w:val="32"/>
          <w:highlight w:val="none"/>
        </w:rPr>
        <w:t>，新的经济增长点不断增加，为财政收入增长奠定了基础。</w:t>
      </w:r>
      <w:r>
        <w:rPr>
          <w:rFonts w:hint="eastAsia" w:ascii="仿宋_GB2312" w:hAnsi="仿宋_GB2312" w:eastAsia="仿宋_GB2312" w:cs="仿宋_GB2312"/>
          <w:sz w:val="32"/>
          <w:szCs w:val="40"/>
          <w:lang w:val="en-US" w:eastAsia="zh-CN"/>
        </w:rPr>
        <w:t>但是，</w:t>
      </w:r>
      <w:r>
        <w:rPr>
          <w:rFonts w:hint="eastAsia" w:ascii="仿宋_GB2312" w:hAnsi="仿宋_GB2312" w:eastAsia="仿宋_GB2312" w:cs="仿宋_GB2312"/>
          <w:sz w:val="32"/>
          <w:szCs w:val="40"/>
        </w:rPr>
        <w:t>今年财政平衡压力加大，收支矛盾更加突出，财政工作面临多重挑战。</w:t>
      </w:r>
      <w:r>
        <w:rPr>
          <w:rFonts w:hint="eastAsia" w:ascii="仿宋_GB2312" w:hAnsi="仿宋_GB2312" w:eastAsia="仿宋_GB2312" w:cs="仿宋_GB2312"/>
          <w:sz w:val="32"/>
          <w:szCs w:val="40"/>
          <w:lang w:val="en-US" w:eastAsia="zh-CN"/>
        </w:rPr>
        <w:t>具体表现在：</w:t>
      </w:r>
      <w:r>
        <w:rPr>
          <w:rFonts w:hint="eastAsia" w:ascii="仿宋_GB2312" w:hAnsi="仿宋_GB2312" w:eastAsia="仿宋_GB2312" w:cs="仿宋_GB2312"/>
          <w:b/>
          <w:bCs/>
          <w:sz w:val="32"/>
          <w:szCs w:val="40"/>
        </w:rPr>
        <w:t>收入增长难。</w:t>
      </w:r>
      <w:r>
        <w:rPr>
          <w:rFonts w:hint="eastAsia" w:ascii="仿宋_GB2312" w:hAnsi="仿宋_GB2312" w:eastAsia="仿宋_GB2312" w:cs="仿宋_GB2312"/>
          <w:sz w:val="32"/>
          <w:szCs w:val="40"/>
        </w:rPr>
        <w:t>传统行业税收增速放缓，新兴税源尚未形成体量优势，房地产市场全面止跌回稳尚需时日，拖累财政收入增长</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非税收入</w:t>
      </w:r>
      <w:r>
        <w:rPr>
          <w:rFonts w:hint="eastAsia" w:ascii="仿宋_GB2312" w:hAnsi="仿宋_GB2312" w:eastAsia="仿宋_GB2312" w:cs="仿宋_GB2312"/>
          <w:sz w:val="32"/>
          <w:szCs w:val="40"/>
          <w:lang w:val="en-US" w:eastAsia="zh-CN"/>
        </w:rPr>
        <w:t>也无增长空间</w:t>
      </w:r>
      <w:r>
        <w:rPr>
          <w:rFonts w:hint="eastAsia" w:ascii="仿宋_GB2312" w:hAnsi="仿宋_GB2312" w:eastAsia="仿宋_GB2312" w:cs="仿宋_GB2312"/>
          <w:sz w:val="32"/>
          <w:szCs w:val="40"/>
        </w:rPr>
        <w:t>。</w:t>
      </w:r>
      <w:r>
        <w:rPr>
          <w:rFonts w:hint="eastAsia" w:ascii="仿宋_GB2312" w:hAnsi="仿宋_GB2312" w:eastAsia="仿宋_GB2312" w:cs="仿宋_GB2312"/>
          <w:b/>
          <w:bCs/>
          <w:sz w:val="32"/>
          <w:szCs w:val="40"/>
        </w:rPr>
        <w:t>支出安排难。</w:t>
      </w:r>
      <w:r>
        <w:rPr>
          <w:rFonts w:hint="eastAsia" w:ascii="仿宋_GB2312" w:hAnsi="仿宋_GB2312" w:eastAsia="仿宋_GB2312" w:cs="仿宋_GB2312"/>
          <w:b w:val="0"/>
          <w:bCs w:val="0"/>
          <w:sz w:val="32"/>
          <w:szCs w:val="40"/>
          <w:lang w:val="en-US" w:eastAsia="zh-CN"/>
        </w:rPr>
        <w:t>今年</w:t>
      </w:r>
      <w:r>
        <w:rPr>
          <w:rFonts w:hint="eastAsia" w:ascii="仿宋_GB2312" w:hAnsi="仿宋_GB2312" w:eastAsia="仿宋_GB2312" w:cs="仿宋_GB2312"/>
          <w:sz w:val="32"/>
          <w:szCs w:val="40"/>
          <w:lang w:val="en-US" w:eastAsia="zh-CN"/>
        </w:rPr>
        <w:t>教育、社会保障、卫生等</w:t>
      </w:r>
      <w:r>
        <w:rPr>
          <w:rFonts w:hint="eastAsia" w:ascii="仿宋_GB2312" w:hAnsi="仿宋_GB2312" w:eastAsia="仿宋_GB2312" w:cs="仿宋_GB2312"/>
          <w:sz w:val="32"/>
          <w:szCs w:val="40"/>
        </w:rPr>
        <w:t>民生支出需求很大，债务还本付息、编外人员，城市运维费用等易增难减，</w:t>
      </w:r>
      <w:r>
        <w:rPr>
          <w:rFonts w:hint="eastAsia" w:ascii="仿宋_GB2312" w:hAnsi="仿宋_GB2312" w:eastAsia="仿宋_GB2312" w:cs="仿宋_GB2312"/>
          <w:sz w:val="32"/>
          <w:szCs w:val="40"/>
          <w:lang w:val="en-US" w:eastAsia="zh-CN"/>
        </w:rPr>
        <w:t>“</w:t>
      </w:r>
      <w:r>
        <w:rPr>
          <w:rFonts w:hint="eastAsia" w:ascii="仿宋_GB2312" w:hAnsi="仿宋_GB2312" w:eastAsia="仿宋_GB2312" w:cs="仿宋_GB2312"/>
          <w:sz w:val="32"/>
          <w:szCs w:val="40"/>
        </w:rPr>
        <w:t>十个杯子七、八个盖</w:t>
      </w:r>
      <w:r>
        <w:rPr>
          <w:rFonts w:hint="eastAsia" w:ascii="仿宋_GB2312" w:hAnsi="仿宋_GB2312" w:eastAsia="仿宋_GB2312" w:cs="仿宋_GB2312"/>
          <w:sz w:val="32"/>
          <w:szCs w:val="40"/>
          <w:lang w:val="en-US" w:eastAsia="zh-CN"/>
        </w:rPr>
        <w:t>”现象成为常态化</w:t>
      </w:r>
      <w:r>
        <w:rPr>
          <w:rFonts w:hint="eastAsia" w:ascii="仿宋_GB2312" w:hAnsi="仿宋_GB2312" w:eastAsia="仿宋_GB2312" w:cs="仿宋_GB2312"/>
          <w:sz w:val="32"/>
          <w:szCs w:val="40"/>
        </w:rPr>
        <w:t>。</w:t>
      </w:r>
      <w:r>
        <w:rPr>
          <w:rFonts w:hint="eastAsia" w:ascii="仿宋_GB2312" w:hAnsi="仿宋_GB2312" w:eastAsia="仿宋_GB2312" w:cs="仿宋_GB2312"/>
          <w:b/>
          <w:bCs/>
          <w:sz w:val="32"/>
          <w:szCs w:val="40"/>
        </w:rPr>
        <w:t>化解风险难。</w:t>
      </w:r>
      <w:r>
        <w:rPr>
          <w:rFonts w:hint="eastAsia" w:ascii="仿宋_GB2312" w:hAnsi="仿宋_GB2312" w:eastAsia="仿宋_GB2312" w:cs="仿宋_GB2312"/>
          <w:b w:val="0"/>
          <w:bCs w:val="0"/>
          <w:sz w:val="32"/>
          <w:szCs w:val="40"/>
          <w:lang w:val="en-US" w:eastAsia="zh-CN"/>
        </w:rPr>
        <w:t>按上级要求，</w:t>
      </w:r>
      <w:r>
        <w:rPr>
          <w:rFonts w:hint="eastAsia" w:ascii="仿宋_GB2312" w:hAnsi="仿宋_GB2312" w:eastAsia="仿宋_GB2312" w:cs="仿宋_GB2312"/>
          <w:sz w:val="32"/>
          <w:szCs w:val="40"/>
        </w:rPr>
        <w:t>隐债清零进入</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倒计时</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，叠加政府债务还本付息</w:t>
      </w:r>
      <w:r>
        <w:rPr>
          <w:rFonts w:hint="eastAsia" w:ascii="仿宋_GB2312" w:hAnsi="仿宋_GB2312" w:eastAsia="仿宋_GB2312" w:cs="仿宋_GB2312"/>
          <w:sz w:val="32"/>
          <w:szCs w:val="40"/>
          <w:lang w:eastAsia="zh-CN"/>
        </w:rPr>
        <w:t>、</w:t>
      </w:r>
      <w:r>
        <w:rPr>
          <w:rFonts w:hint="eastAsia" w:ascii="仿宋_GB2312" w:hAnsi="仿宋_GB2312" w:eastAsia="仿宋_GB2312" w:cs="仿宋_GB2312"/>
          <w:sz w:val="32"/>
          <w:szCs w:val="40"/>
        </w:rPr>
        <w:t>清理拖欠企业账款和暂付款、</w:t>
      </w:r>
      <w:r>
        <w:rPr>
          <w:rFonts w:hint="eastAsia" w:ascii="仿宋_GB2312" w:hAnsi="仿宋_GB2312" w:eastAsia="仿宋_GB2312" w:cs="仿宋_GB2312"/>
          <w:sz w:val="32"/>
          <w:szCs w:val="40"/>
          <w:lang w:val="en-US" w:eastAsia="zh-CN"/>
        </w:rPr>
        <w:t>平台公司融资的还本付息</w:t>
      </w:r>
      <w:r>
        <w:rPr>
          <w:rFonts w:hint="eastAsia" w:ascii="仿宋_GB2312" w:hAnsi="仿宋_GB2312" w:eastAsia="仿宋_GB2312" w:cs="仿宋_GB2312"/>
          <w:sz w:val="32"/>
          <w:szCs w:val="40"/>
        </w:rPr>
        <w:t>等，化解风险的艰巨性、复杂性进一步凸显。</w:t>
      </w:r>
    </w:p>
    <w:p w14:paraId="536529BA">
      <w:pPr>
        <w:keepNext w:val="0"/>
        <w:keepLines w:val="0"/>
        <w:pageBreakBefore w:val="0"/>
        <w:widowControl w:val="0"/>
        <w:tabs>
          <w:tab w:val="left" w:pos="1080"/>
        </w:tabs>
        <w:kinsoku/>
        <w:wordWrap/>
        <w:overflowPunct w:val="0"/>
        <w:topLinePunct w:val="0"/>
        <w:bidi w:val="0"/>
        <w:adjustRightInd w:val="0"/>
        <w:snapToGrid w:val="0"/>
        <w:spacing w:line="560" w:lineRule="exact"/>
        <w:ind w:firstLine="643" w:firstLineChars="200"/>
        <w:textAlignment w:val="auto"/>
        <w:rPr>
          <w:rFonts w:ascii="楷体_GB2312" w:hAnsi="文星楷体" w:eastAsia="楷体_GB2312"/>
          <w:b/>
          <w:kern w:val="0"/>
          <w:sz w:val="32"/>
          <w:szCs w:val="32"/>
          <w:highlight w:val="none"/>
        </w:rPr>
      </w:pPr>
      <w:r>
        <w:rPr>
          <w:rFonts w:hint="eastAsia" w:ascii="仿宋_GB2312" w:hAnsi="仿宋_GB2312" w:eastAsia="仿宋_GB2312" w:cs="仿宋_GB2312"/>
          <w:b/>
          <w:kern w:val="0"/>
          <w:sz w:val="32"/>
          <w:szCs w:val="32"/>
          <w:highlight w:val="none"/>
        </w:rPr>
        <w:t>总的来看，</w:t>
      </w:r>
      <w:r>
        <w:rPr>
          <w:rFonts w:hint="eastAsia" w:ascii="仿宋_GB2312" w:hAnsi="仿宋_GB2312" w:eastAsia="仿宋_GB2312" w:cs="仿宋_GB2312"/>
          <w:bCs/>
          <w:kern w:val="0"/>
          <w:sz w:val="32"/>
          <w:szCs w:val="32"/>
          <w:highlight w:val="none"/>
        </w:rPr>
        <w:t>今年财政收支形势依然严峻，财政收支紧平衡状态更加突出，财政工作面临不少困难挑战。</w:t>
      </w:r>
    </w:p>
    <w:p w14:paraId="6503E722">
      <w:pPr>
        <w:keepNext w:val="0"/>
        <w:keepLines w:val="0"/>
        <w:pageBreakBefore w:val="0"/>
        <w:widowControl w:val="0"/>
        <w:kinsoku/>
        <w:wordWrap/>
        <w:overflowPunct w:val="0"/>
        <w:topLinePunct w:val="0"/>
        <w:bidi w:val="0"/>
        <w:adjustRightInd w:val="0"/>
        <w:snapToGrid w:val="0"/>
        <w:spacing w:line="560" w:lineRule="exact"/>
        <w:ind w:firstLine="643" w:firstLineChars="200"/>
        <w:textAlignment w:val="auto"/>
        <w:rPr>
          <w:rFonts w:ascii="楷体_GB2312" w:eastAsia="楷体_GB2312"/>
          <w:b/>
          <w:kern w:val="0"/>
          <w:sz w:val="32"/>
          <w:szCs w:val="32"/>
        </w:rPr>
      </w:pPr>
      <w:r>
        <w:rPr>
          <w:rFonts w:hint="eastAsia" w:ascii="楷体_GB2312" w:eastAsia="楷体_GB2312"/>
          <w:b/>
          <w:kern w:val="0"/>
          <w:sz w:val="32"/>
          <w:szCs w:val="32"/>
        </w:rPr>
        <w:t>（三）</w:t>
      </w:r>
      <w:r>
        <w:rPr>
          <w:rFonts w:ascii="楷体_GB2312" w:eastAsia="楷体_GB2312"/>
          <w:b/>
          <w:kern w:val="0"/>
          <w:sz w:val="32"/>
          <w:szCs w:val="32"/>
        </w:rPr>
        <w:t>202</w:t>
      </w:r>
      <w:r>
        <w:rPr>
          <w:rFonts w:hint="eastAsia" w:ascii="楷体_GB2312" w:eastAsia="楷体_GB2312"/>
          <w:b/>
          <w:kern w:val="0"/>
          <w:sz w:val="32"/>
          <w:szCs w:val="32"/>
          <w:lang w:val="en-US" w:eastAsia="zh-CN"/>
        </w:rPr>
        <w:t>6</w:t>
      </w:r>
      <w:r>
        <w:rPr>
          <w:rFonts w:hint="eastAsia" w:ascii="楷体_GB2312" w:eastAsia="楷体_GB2312"/>
          <w:b/>
          <w:kern w:val="0"/>
          <w:sz w:val="32"/>
          <w:szCs w:val="32"/>
        </w:rPr>
        <w:t>年财政收支预算</w:t>
      </w:r>
    </w:p>
    <w:p w14:paraId="1DD6C79C">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3" w:firstLineChars="200"/>
        <w:textAlignment w:val="auto"/>
        <w:rPr>
          <w:rFonts w:ascii="仿宋_GB2312" w:hAnsi="仿宋" w:eastAsia="仿宋_GB2312" w:cs="宋体"/>
          <w:b/>
          <w:snapToGrid w:val="0"/>
          <w:kern w:val="0"/>
          <w:sz w:val="32"/>
          <w:szCs w:val="32"/>
          <w:highlight w:val="none"/>
        </w:rPr>
      </w:pPr>
      <w:r>
        <w:rPr>
          <w:rFonts w:ascii="仿宋_GB2312" w:hAnsi="仿宋" w:eastAsia="仿宋_GB2312" w:cs="宋体"/>
          <w:b/>
          <w:snapToGrid w:val="0"/>
          <w:kern w:val="0"/>
          <w:sz w:val="32"/>
          <w:szCs w:val="32"/>
          <w:highlight w:val="none"/>
        </w:rPr>
        <w:t>1.</w:t>
      </w:r>
      <w:r>
        <w:rPr>
          <w:rFonts w:hint="eastAsia" w:ascii="仿宋_GB2312" w:hAnsi="仿宋" w:eastAsia="仿宋_GB2312" w:cs="宋体"/>
          <w:b/>
          <w:snapToGrid w:val="0"/>
          <w:kern w:val="0"/>
          <w:sz w:val="32"/>
          <w:szCs w:val="32"/>
          <w:highlight w:val="none"/>
        </w:rPr>
        <w:t>一般公共预算</w:t>
      </w:r>
    </w:p>
    <w:p w14:paraId="42C6E5EB">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3" w:firstLineChars="200"/>
        <w:textAlignment w:val="auto"/>
        <w:rPr>
          <w:rFonts w:hint="eastAsia" w:ascii="仿宋_GB2312" w:hAnsi="仿宋" w:eastAsia="仿宋_GB2312" w:cs="宋体"/>
          <w:snapToGrid w:val="0"/>
          <w:kern w:val="0"/>
          <w:sz w:val="32"/>
          <w:szCs w:val="32"/>
          <w:highlight w:val="none"/>
        </w:rPr>
      </w:pPr>
      <w:r>
        <w:rPr>
          <w:rFonts w:hint="eastAsia" w:ascii="仿宋_GB2312" w:hAnsi="仿宋" w:eastAsia="仿宋_GB2312" w:cs="宋体"/>
          <w:b/>
          <w:snapToGrid w:val="0"/>
          <w:kern w:val="0"/>
          <w:sz w:val="32"/>
          <w:szCs w:val="32"/>
          <w:highlight w:val="none"/>
          <w:u w:val="none"/>
        </w:rPr>
        <w:t xml:space="preserve">收入安排 </w:t>
      </w:r>
      <w:r>
        <w:rPr>
          <w:rFonts w:hint="eastAsia" w:ascii="仿宋_GB2312" w:hAnsi="仿宋" w:eastAsia="仿宋_GB2312" w:cs="宋体"/>
          <w:snapToGrid w:val="0"/>
          <w:kern w:val="0"/>
          <w:sz w:val="32"/>
          <w:szCs w:val="32"/>
          <w:highlight w:val="none"/>
          <w:u w:val="none"/>
        </w:rPr>
        <w:t>202</w:t>
      </w:r>
      <w:r>
        <w:rPr>
          <w:rFonts w:hint="eastAsia" w:ascii="仿宋_GB2312" w:hAnsi="仿宋" w:eastAsia="仿宋_GB2312" w:cs="宋体"/>
          <w:snapToGrid w:val="0"/>
          <w:kern w:val="0"/>
          <w:sz w:val="32"/>
          <w:szCs w:val="32"/>
          <w:highlight w:val="none"/>
          <w:u w:val="none"/>
          <w:lang w:val="en-US" w:eastAsia="zh-CN"/>
        </w:rPr>
        <w:t>6</w:t>
      </w:r>
      <w:r>
        <w:rPr>
          <w:rFonts w:hint="eastAsia" w:ascii="仿宋_GB2312" w:hAnsi="仿宋" w:eastAsia="仿宋_GB2312" w:cs="宋体"/>
          <w:snapToGrid w:val="0"/>
          <w:kern w:val="0"/>
          <w:sz w:val="32"/>
          <w:szCs w:val="32"/>
          <w:highlight w:val="none"/>
          <w:u w:val="none"/>
        </w:rPr>
        <w:t>年进一步夯实财政收入，全县一般公共预算收入计划完成</w:t>
      </w:r>
      <w:r>
        <w:rPr>
          <w:rFonts w:hint="eastAsia" w:ascii="仿宋_GB2312" w:hAnsi="仿宋" w:eastAsia="仿宋_GB2312" w:cs="宋体"/>
          <w:snapToGrid w:val="0"/>
          <w:kern w:val="0"/>
          <w:sz w:val="32"/>
          <w:szCs w:val="32"/>
          <w:highlight w:val="none"/>
          <w:u w:val="none"/>
          <w:lang w:val="en-US" w:eastAsia="zh-CN"/>
        </w:rPr>
        <w:t>195800</w:t>
      </w:r>
      <w:r>
        <w:rPr>
          <w:rFonts w:hint="eastAsia" w:ascii="仿宋_GB2312" w:hAnsi="仿宋" w:eastAsia="仿宋_GB2312" w:cs="宋体"/>
          <w:snapToGrid w:val="0"/>
          <w:kern w:val="0"/>
          <w:sz w:val="32"/>
          <w:szCs w:val="32"/>
          <w:highlight w:val="none"/>
          <w:u w:val="none"/>
        </w:rPr>
        <w:t>万元。</w:t>
      </w:r>
      <w:r>
        <w:rPr>
          <w:rFonts w:hint="eastAsia" w:ascii="仿宋_GB2312" w:hAnsi="仿宋" w:eastAsia="仿宋_GB2312"/>
          <w:sz w:val="32"/>
          <w:szCs w:val="32"/>
          <w:highlight w:val="yellow"/>
          <w:u w:val="none"/>
        </w:rPr>
        <w:t>税收收入</w:t>
      </w:r>
      <w:r>
        <w:rPr>
          <w:rFonts w:hint="eastAsia" w:ascii="仿宋_GB2312" w:hAnsi="仿宋" w:eastAsia="仿宋_GB2312"/>
          <w:sz w:val="32"/>
          <w:szCs w:val="32"/>
          <w:highlight w:val="yellow"/>
          <w:u w:val="none"/>
          <w:lang w:val="en-US" w:eastAsia="zh-CN"/>
        </w:rPr>
        <w:t>154200</w:t>
      </w:r>
      <w:r>
        <w:rPr>
          <w:rFonts w:hint="eastAsia" w:ascii="仿宋_GB2312" w:hAnsi="仿宋" w:eastAsia="仿宋_GB2312" w:cs="宋体"/>
          <w:snapToGrid w:val="0"/>
          <w:kern w:val="0"/>
          <w:sz w:val="32"/>
          <w:szCs w:val="32"/>
          <w:highlight w:val="yellow"/>
          <w:u w:val="none"/>
        </w:rPr>
        <w:t>万元。其中：增值税</w:t>
      </w:r>
      <w:r>
        <w:rPr>
          <w:rFonts w:hint="eastAsia" w:ascii="仿宋_GB2312" w:hAnsi="仿宋" w:eastAsia="仿宋_GB2312" w:cs="宋体"/>
          <w:snapToGrid w:val="0"/>
          <w:kern w:val="0"/>
          <w:sz w:val="32"/>
          <w:szCs w:val="32"/>
          <w:highlight w:val="yellow"/>
          <w:u w:val="none"/>
          <w:lang w:val="en-US" w:eastAsia="zh-CN"/>
        </w:rPr>
        <w:t>101745</w:t>
      </w:r>
      <w:r>
        <w:rPr>
          <w:rFonts w:hint="eastAsia" w:ascii="仿宋_GB2312" w:hAnsi="仿宋" w:eastAsia="仿宋_GB2312" w:cs="宋体"/>
          <w:snapToGrid w:val="0"/>
          <w:kern w:val="0"/>
          <w:sz w:val="32"/>
          <w:szCs w:val="32"/>
          <w:highlight w:val="yellow"/>
          <w:u w:val="none"/>
        </w:rPr>
        <w:t>万元，增长</w:t>
      </w:r>
      <w:r>
        <w:rPr>
          <w:rFonts w:hint="eastAsia" w:ascii="仿宋_GB2312" w:hAnsi="仿宋" w:eastAsia="仿宋_GB2312" w:cs="宋体"/>
          <w:snapToGrid w:val="0"/>
          <w:kern w:val="0"/>
          <w:sz w:val="32"/>
          <w:szCs w:val="32"/>
          <w:highlight w:val="yellow"/>
          <w:u w:val="none"/>
          <w:lang w:val="en-US" w:eastAsia="zh-CN"/>
        </w:rPr>
        <w:t>31.4</w:t>
      </w:r>
      <w:r>
        <w:rPr>
          <w:rFonts w:ascii="仿宋_GB2312" w:hAnsi="仿宋" w:eastAsia="仿宋_GB2312" w:cs="宋体"/>
          <w:snapToGrid w:val="0"/>
          <w:kern w:val="0"/>
          <w:sz w:val="32"/>
          <w:szCs w:val="32"/>
          <w:highlight w:val="yellow"/>
          <w:u w:val="none"/>
        </w:rPr>
        <w:t>%</w:t>
      </w:r>
      <w:r>
        <w:rPr>
          <w:rFonts w:hint="eastAsia" w:ascii="仿宋_GB2312" w:hAnsi="仿宋" w:eastAsia="仿宋_GB2312" w:cs="宋体"/>
          <w:snapToGrid w:val="0"/>
          <w:kern w:val="0"/>
          <w:sz w:val="32"/>
          <w:szCs w:val="32"/>
          <w:highlight w:val="yellow"/>
          <w:u w:val="none"/>
        </w:rPr>
        <w:t>；</w:t>
      </w:r>
      <w:r>
        <w:rPr>
          <w:rFonts w:hint="eastAsia" w:ascii="仿宋_GB2312" w:hAnsi="仿宋" w:eastAsia="仿宋_GB2312" w:cs="宋体"/>
          <w:snapToGrid w:val="0"/>
          <w:kern w:val="0"/>
          <w:sz w:val="32"/>
          <w:szCs w:val="32"/>
          <w:highlight w:val="none"/>
          <w:u w:val="none"/>
        </w:rPr>
        <w:t>企业所得税11</w:t>
      </w:r>
      <w:r>
        <w:rPr>
          <w:rFonts w:hint="eastAsia" w:ascii="仿宋_GB2312" w:hAnsi="仿宋" w:eastAsia="仿宋_GB2312" w:cs="宋体"/>
          <w:snapToGrid w:val="0"/>
          <w:kern w:val="0"/>
          <w:sz w:val="32"/>
          <w:szCs w:val="32"/>
          <w:highlight w:val="none"/>
          <w:u w:val="none"/>
          <w:lang w:val="en-US" w:eastAsia="zh-CN"/>
        </w:rPr>
        <w:t>393</w:t>
      </w:r>
      <w:r>
        <w:rPr>
          <w:rFonts w:hint="eastAsia" w:ascii="仿宋_GB2312" w:hAnsi="仿宋" w:eastAsia="仿宋_GB2312" w:cs="宋体"/>
          <w:snapToGrid w:val="0"/>
          <w:kern w:val="0"/>
          <w:sz w:val="32"/>
          <w:szCs w:val="32"/>
          <w:highlight w:val="none"/>
          <w:u w:val="none"/>
        </w:rPr>
        <w:t>万元，增长</w:t>
      </w:r>
      <w:r>
        <w:rPr>
          <w:rFonts w:hint="eastAsia" w:ascii="仿宋_GB2312" w:hAnsi="仿宋" w:eastAsia="仿宋_GB2312" w:cs="宋体"/>
          <w:snapToGrid w:val="0"/>
          <w:kern w:val="0"/>
          <w:sz w:val="32"/>
          <w:szCs w:val="32"/>
          <w:highlight w:val="none"/>
          <w:u w:val="none"/>
          <w:lang w:val="en-US" w:eastAsia="zh-CN"/>
        </w:rPr>
        <w:t>1.73</w:t>
      </w:r>
      <w:r>
        <w:rPr>
          <w:rFonts w:ascii="仿宋_GB2312" w:hAnsi="仿宋" w:eastAsia="仿宋_GB2312" w:cs="宋体"/>
          <w:snapToGrid w:val="0"/>
          <w:kern w:val="0"/>
          <w:sz w:val="32"/>
          <w:szCs w:val="32"/>
          <w:highlight w:val="none"/>
          <w:u w:val="none"/>
        </w:rPr>
        <w:t>%</w:t>
      </w:r>
      <w:r>
        <w:rPr>
          <w:rFonts w:hint="eastAsia" w:ascii="仿宋_GB2312" w:hAnsi="仿宋" w:eastAsia="仿宋_GB2312" w:cs="宋体"/>
          <w:snapToGrid w:val="0"/>
          <w:kern w:val="0"/>
          <w:sz w:val="32"/>
          <w:szCs w:val="32"/>
          <w:highlight w:val="none"/>
          <w:u w:val="none"/>
        </w:rPr>
        <w:t>；个人所得税</w:t>
      </w:r>
      <w:r>
        <w:rPr>
          <w:rFonts w:hint="eastAsia" w:ascii="仿宋_GB2312" w:hAnsi="仿宋" w:eastAsia="仿宋_GB2312" w:cs="宋体"/>
          <w:snapToGrid w:val="0"/>
          <w:kern w:val="0"/>
          <w:sz w:val="32"/>
          <w:szCs w:val="32"/>
          <w:highlight w:val="none"/>
          <w:u w:val="none"/>
          <w:lang w:val="en-US" w:eastAsia="zh-CN"/>
        </w:rPr>
        <w:t>4831</w:t>
      </w:r>
      <w:r>
        <w:rPr>
          <w:rFonts w:hint="eastAsia" w:ascii="仿宋_GB2312" w:hAnsi="仿宋" w:eastAsia="仿宋_GB2312" w:cs="宋体"/>
          <w:snapToGrid w:val="0"/>
          <w:kern w:val="0"/>
          <w:sz w:val="32"/>
          <w:szCs w:val="32"/>
          <w:highlight w:val="none"/>
          <w:u w:val="none"/>
        </w:rPr>
        <w:t>万元，</w:t>
      </w:r>
      <w:r>
        <w:rPr>
          <w:rFonts w:hint="eastAsia" w:ascii="仿宋_GB2312" w:hAnsi="仿宋" w:eastAsia="仿宋_GB2312" w:cs="宋体"/>
          <w:snapToGrid w:val="0"/>
          <w:kern w:val="0"/>
          <w:sz w:val="32"/>
          <w:szCs w:val="32"/>
          <w:highlight w:val="none"/>
          <w:u w:val="none"/>
          <w:lang w:val="en-US" w:eastAsia="zh-CN"/>
        </w:rPr>
        <w:t>增长7.2</w:t>
      </w:r>
      <w:r>
        <w:rPr>
          <w:rFonts w:ascii="仿宋_GB2312" w:hAnsi="仿宋" w:eastAsia="仿宋_GB2312" w:cs="宋体"/>
          <w:snapToGrid w:val="0"/>
          <w:kern w:val="0"/>
          <w:sz w:val="32"/>
          <w:szCs w:val="32"/>
          <w:highlight w:val="none"/>
          <w:u w:val="none"/>
        </w:rPr>
        <w:t>%</w:t>
      </w:r>
      <w:r>
        <w:rPr>
          <w:rFonts w:hint="eastAsia" w:ascii="仿宋_GB2312" w:hAnsi="仿宋" w:eastAsia="仿宋_GB2312" w:cs="宋体"/>
          <w:snapToGrid w:val="0"/>
          <w:kern w:val="0"/>
          <w:sz w:val="32"/>
          <w:szCs w:val="32"/>
          <w:highlight w:val="none"/>
          <w:u w:val="none"/>
          <w:lang w:eastAsia="zh-CN"/>
        </w:rPr>
        <w:t>（剔除</w:t>
      </w:r>
      <w:r>
        <w:rPr>
          <w:rFonts w:hint="eastAsia" w:ascii="仿宋_GB2312" w:hAnsi="仿宋" w:eastAsia="仿宋_GB2312" w:cs="宋体"/>
          <w:snapToGrid w:val="0"/>
          <w:kern w:val="0"/>
          <w:sz w:val="32"/>
          <w:szCs w:val="32"/>
          <w:highlight w:val="none"/>
          <w:u w:val="none"/>
          <w:lang w:val="en-US" w:eastAsia="zh-CN"/>
        </w:rPr>
        <w:t>宛西股权转让缴纳个人所得税3200万元一次性增长因素</w:t>
      </w:r>
      <w:r>
        <w:rPr>
          <w:rFonts w:hint="eastAsia" w:ascii="仿宋_GB2312" w:hAnsi="仿宋" w:eastAsia="仿宋_GB2312" w:cs="宋体"/>
          <w:snapToGrid w:val="0"/>
          <w:kern w:val="0"/>
          <w:sz w:val="32"/>
          <w:szCs w:val="32"/>
          <w:highlight w:val="none"/>
          <w:u w:val="none"/>
          <w:lang w:eastAsia="zh-CN"/>
        </w:rPr>
        <w:t>）</w:t>
      </w:r>
      <w:r>
        <w:rPr>
          <w:rFonts w:hint="eastAsia" w:ascii="仿宋_GB2312" w:hAnsi="仿宋" w:eastAsia="仿宋_GB2312" w:cs="宋体"/>
          <w:snapToGrid w:val="0"/>
          <w:kern w:val="0"/>
          <w:sz w:val="32"/>
          <w:szCs w:val="32"/>
          <w:highlight w:val="none"/>
          <w:u w:val="none"/>
        </w:rPr>
        <w:t>；</w:t>
      </w:r>
      <w:r>
        <w:rPr>
          <w:rFonts w:hint="eastAsia" w:ascii="仿宋_GB2312" w:hAnsi="仿宋" w:eastAsia="仿宋_GB2312" w:cs="宋体"/>
          <w:snapToGrid w:val="0"/>
          <w:kern w:val="0"/>
          <w:sz w:val="32"/>
          <w:szCs w:val="32"/>
          <w:highlight w:val="none"/>
          <w:u w:val="none"/>
          <w:lang w:val="en-US" w:eastAsia="zh-CN"/>
        </w:rPr>
        <w:t>资源税2500</w:t>
      </w:r>
      <w:r>
        <w:rPr>
          <w:rFonts w:hint="eastAsia" w:ascii="仿宋_GB2312" w:hAnsi="仿宋" w:eastAsia="仿宋_GB2312" w:cs="宋体"/>
          <w:snapToGrid w:val="0"/>
          <w:kern w:val="0"/>
          <w:sz w:val="32"/>
          <w:szCs w:val="32"/>
          <w:highlight w:val="none"/>
          <w:u w:val="none"/>
        </w:rPr>
        <w:t>万元，</w:t>
      </w:r>
      <w:r>
        <w:rPr>
          <w:rFonts w:hint="eastAsia" w:ascii="仿宋_GB2312" w:hAnsi="仿宋" w:eastAsia="仿宋_GB2312" w:cs="宋体"/>
          <w:snapToGrid w:val="0"/>
          <w:kern w:val="0"/>
          <w:sz w:val="32"/>
          <w:szCs w:val="32"/>
          <w:highlight w:val="none"/>
          <w:u w:val="none"/>
          <w:lang w:val="en-US" w:eastAsia="zh-CN"/>
        </w:rPr>
        <w:t>增长1</w:t>
      </w:r>
      <w:r>
        <w:rPr>
          <w:rFonts w:ascii="仿宋_GB2312" w:hAnsi="仿宋" w:eastAsia="仿宋_GB2312" w:cs="宋体"/>
          <w:snapToGrid w:val="0"/>
          <w:kern w:val="0"/>
          <w:sz w:val="32"/>
          <w:szCs w:val="32"/>
          <w:highlight w:val="none"/>
          <w:u w:val="none"/>
        </w:rPr>
        <w:t>%</w:t>
      </w:r>
      <w:r>
        <w:rPr>
          <w:rFonts w:hint="eastAsia" w:ascii="仿宋_GB2312" w:hAnsi="仿宋" w:eastAsia="仿宋_GB2312" w:cs="宋体"/>
          <w:snapToGrid w:val="0"/>
          <w:kern w:val="0"/>
          <w:sz w:val="32"/>
          <w:szCs w:val="32"/>
          <w:highlight w:val="none"/>
          <w:u w:val="none"/>
          <w:lang w:eastAsia="zh-CN"/>
        </w:rPr>
        <w:t>（</w:t>
      </w:r>
      <w:r>
        <w:rPr>
          <w:rFonts w:hint="eastAsia" w:ascii="仿宋_GB2312" w:hAnsi="仿宋" w:eastAsia="仿宋_GB2312" w:cs="宋体"/>
          <w:snapToGrid w:val="0"/>
          <w:kern w:val="0"/>
          <w:sz w:val="32"/>
          <w:szCs w:val="32"/>
          <w:highlight w:val="none"/>
          <w:u w:val="none"/>
          <w:lang w:val="en-US" w:eastAsia="zh-CN"/>
        </w:rPr>
        <w:t>剔除2025年绿化中心、环卫局补缴资源税一次性增长因素</w:t>
      </w:r>
      <w:r>
        <w:rPr>
          <w:rFonts w:hint="eastAsia" w:ascii="仿宋_GB2312" w:hAnsi="仿宋" w:eastAsia="仿宋_GB2312" w:cs="宋体"/>
          <w:snapToGrid w:val="0"/>
          <w:kern w:val="0"/>
          <w:sz w:val="32"/>
          <w:szCs w:val="32"/>
          <w:highlight w:val="none"/>
          <w:u w:val="none"/>
          <w:lang w:eastAsia="zh-CN"/>
        </w:rPr>
        <w:t>）</w:t>
      </w:r>
      <w:r>
        <w:rPr>
          <w:rFonts w:hint="eastAsia" w:ascii="仿宋_GB2312" w:hAnsi="仿宋" w:eastAsia="仿宋_GB2312" w:cs="宋体"/>
          <w:snapToGrid w:val="0"/>
          <w:kern w:val="0"/>
          <w:sz w:val="32"/>
          <w:szCs w:val="32"/>
          <w:highlight w:val="none"/>
          <w:u w:val="none"/>
        </w:rPr>
        <w:t>；城市维护建设税</w:t>
      </w:r>
      <w:r>
        <w:rPr>
          <w:rFonts w:hint="eastAsia" w:ascii="仿宋_GB2312" w:hAnsi="仿宋" w:eastAsia="仿宋_GB2312" w:cs="宋体"/>
          <w:snapToGrid w:val="0"/>
          <w:kern w:val="0"/>
          <w:sz w:val="32"/>
          <w:szCs w:val="32"/>
          <w:highlight w:val="none"/>
          <w:u w:val="none"/>
          <w:lang w:val="en-US" w:eastAsia="zh-CN"/>
        </w:rPr>
        <w:t>8826</w:t>
      </w:r>
      <w:r>
        <w:rPr>
          <w:rFonts w:hint="eastAsia" w:ascii="仿宋_GB2312" w:hAnsi="仿宋" w:eastAsia="仿宋_GB2312" w:cs="宋体"/>
          <w:snapToGrid w:val="0"/>
          <w:kern w:val="0"/>
          <w:sz w:val="32"/>
          <w:szCs w:val="32"/>
          <w:highlight w:val="none"/>
          <w:u w:val="none"/>
        </w:rPr>
        <w:t>万元，增长</w:t>
      </w:r>
      <w:r>
        <w:rPr>
          <w:rFonts w:hint="eastAsia" w:ascii="仿宋_GB2312" w:hAnsi="仿宋" w:eastAsia="仿宋_GB2312" w:cs="宋体"/>
          <w:snapToGrid w:val="0"/>
          <w:kern w:val="0"/>
          <w:sz w:val="32"/>
          <w:szCs w:val="32"/>
          <w:highlight w:val="none"/>
          <w:u w:val="none"/>
          <w:lang w:val="en-US" w:eastAsia="zh-CN"/>
        </w:rPr>
        <w:t>26.9</w:t>
      </w:r>
      <w:r>
        <w:rPr>
          <w:rFonts w:ascii="仿宋_GB2312" w:hAnsi="仿宋" w:eastAsia="仿宋_GB2312" w:cs="宋体"/>
          <w:snapToGrid w:val="0"/>
          <w:kern w:val="0"/>
          <w:sz w:val="32"/>
          <w:szCs w:val="32"/>
          <w:highlight w:val="none"/>
          <w:u w:val="none"/>
        </w:rPr>
        <w:t>%</w:t>
      </w:r>
      <w:r>
        <w:rPr>
          <w:rFonts w:hint="eastAsia" w:ascii="仿宋_GB2312" w:hAnsi="仿宋" w:eastAsia="仿宋_GB2312" w:cs="宋体"/>
          <w:snapToGrid w:val="0"/>
          <w:kern w:val="0"/>
          <w:sz w:val="32"/>
          <w:szCs w:val="32"/>
          <w:highlight w:val="none"/>
          <w:u w:val="none"/>
        </w:rPr>
        <w:t>；房产税</w:t>
      </w:r>
      <w:r>
        <w:rPr>
          <w:rFonts w:hint="eastAsia" w:ascii="仿宋_GB2312" w:hAnsi="仿宋" w:eastAsia="仿宋_GB2312" w:cs="宋体"/>
          <w:snapToGrid w:val="0"/>
          <w:kern w:val="0"/>
          <w:sz w:val="32"/>
          <w:szCs w:val="32"/>
          <w:highlight w:val="none"/>
          <w:u w:val="none"/>
          <w:lang w:val="en-US" w:eastAsia="zh-CN"/>
        </w:rPr>
        <w:t>4680</w:t>
      </w:r>
      <w:r>
        <w:rPr>
          <w:rFonts w:hint="eastAsia" w:ascii="仿宋_GB2312" w:hAnsi="仿宋" w:eastAsia="仿宋_GB2312" w:cs="宋体"/>
          <w:snapToGrid w:val="0"/>
          <w:kern w:val="0"/>
          <w:sz w:val="32"/>
          <w:szCs w:val="32"/>
          <w:highlight w:val="none"/>
          <w:u w:val="none"/>
        </w:rPr>
        <w:t>万元，增长</w:t>
      </w:r>
      <w:r>
        <w:rPr>
          <w:rFonts w:hint="eastAsia" w:ascii="仿宋_GB2312" w:hAnsi="仿宋" w:eastAsia="仿宋_GB2312" w:cs="宋体"/>
          <w:snapToGrid w:val="0"/>
          <w:kern w:val="0"/>
          <w:sz w:val="32"/>
          <w:szCs w:val="32"/>
          <w:highlight w:val="none"/>
          <w:u w:val="none"/>
          <w:lang w:val="en-US" w:eastAsia="zh-CN"/>
        </w:rPr>
        <w:t>1.7</w:t>
      </w:r>
      <w:r>
        <w:rPr>
          <w:rFonts w:ascii="仿宋_GB2312" w:hAnsi="仿宋" w:eastAsia="仿宋_GB2312" w:cs="宋体"/>
          <w:snapToGrid w:val="0"/>
          <w:kern w:val="0"/>
          <w:sz w:val="32"/>
          <w:szCs w:val="32"/>
          <w:highlight w:val="none"/>
          <w:u w:val="none"/>
        </w:rPr>
        <w:t>%</w:t>
      </w:r>
      <w:r>
        <w:rPr>
          <w:rFonts w:hint="eastAsia" w:ascii="仿宋_GB2312" w:hAnsi="仿宋" w:eastAsia="仿宋_GB2312" w:cs="宋体"/>
          <w:snapToGrid w:val="0"/>
          <w:kern w:val="0"/>
          <w:sz w:val="32"/>
          <w:szCs w:val="32"/>
          <w:highlight w:val="none"/>
          <w:u w:val="none"/>
        </w:rPr>
        <w:t>；印花税</w:t>
      </w:r>
      <w:r>
        <w:rPr>
          <w:rFonts w:hint="eastAsia" w:ascii="仿宋_GB2312" w:hAnsi="仿宋" w:eastAsia="仿宋_GB2312" w:cs="仿宋"/>
          <w:sz w:val="32"/>
          <w:szCs w:val="32"/>
          <w:highlight w:val="none"/>
          <w:u w:val="none"/>
          <w:lang w:val="en-US" w:eastAsia="zh-CN"/>
        </w:rPr>
        <w:t>4467</w:t>
      </w:r>
      <w:r>
        <w:rPr>
          <w:rFonts w:hint="eastAsia" w:ascii="仿宋_GB2312" w:hAnsi="仿宋" w:eastAsia="仿宋_GB2312" w:cs="宋体"/>
          <w:snapToGrid w:val="0"/>
          <w:kern w:val="0"/>
          <w:sz w:val="32"/>
          <w:szCs w:val="32"/>
          <w:highlight w:val="none"/>
          <w:u w:val="none"/>
        </w:rPr>
        <w:t>万元，增长</w:t>
      </w:r>
      <w:r>
        <w:rPr>
          <w:rFonts w:hint="eastAsia" w:ascii="仿宋_GB2312" w:hAnsi="仿宋" w:eastAsia="仿宋_GB2312" w:cs="宋体"/>
          <w:snapToGrid w:val="0"/>
          <w:kern w:val="0"/>
          <w:sz w:val="32"/>
          <w:szCs w:val="32"/>
          <w:highlight w:val="none"/>
          <w:u w:val="none"/>
          <w:lang w:val="en-US" w:eastAsia="zh-CN"/>
        </w:rPr>
        <w:t>2.3</w:t>
      </w:r>
      <w:r>
        <w:rPr>
          <w:rFonts w:ascii="仿宋_GB2312" w:hAnsi="仿宋" w:eastAsia="仿宋_GB2312" w:cs="宋体"/>
          <w:snapToGrid w:val="0"/>
          <w:kern w:val="0"/>
          <w:sz w:val="32"/>
          <w:szCs w:val="32"/>
          <w:highlight w:val="none"/>
          <w:u w:val="none"/>
        </w:rPr>
        <w:t>%</w:t>
      </w:r>
      <w:r>
        <w:rPr>
          <w:rFonts w:hint="eastAsia" w:ascii="仿宋_GB2312" w:hAnsi="仿宋" w:eastAsia="仿宋_GB2312" w:cs="宋体"/>
          <w:snapToGrid w:val="0"/>
          <w:kern w:val="0"/>
          <w:sz w:val="32"/>
          <w:szCs w:val="32"/>
          <w:highlight w:val="none"/>
          <w:u w:val="none"/>
        </w:rPr>
        <w:t>；城镇土地使用税</w:t>
      </w:r>
      <w:r>
        <w:rPr>
          <w:rFonts w:hint="eastAsia" w:ascii="仿宋_GB2312" w:hAnsi="仿宋" w:eastAsia="仿宋_GB2312" w:cs="宋体"/>
          <w:snapToGrid w:val="0"/>
          <w:kern w:val="0"/>
          <w:sz w:val="32"/>
          <w:szCs w:val="32"/>
          <w:highlight w:val="none"/>
          <w:u w:val="none"/>
          <w:lang w:val="en-US" w:eastAsia="zh-CN"/>
        </w:rPr>
        <w:t>7090</w:t>
      </w:r>
      <w:r>
        <w:rPr>
          <w:rFonts w:hint="eastAsia" w:ascii="仿宋_GB2312" w:hAnsi="仿宋" w:eastAsia="仿宋_GB2312" w:cs="宋体"/>
          <w:snapToGrid w:val="0"/>
          <w:kern w:val="0"/>
          <w:sz w:val="32"/>
          <w:szCs w:val="32"/>
          <w:highlight w:val="none"/>
          <w:u w:val="none"/>
        </w:rPr>
        <w:t>万元，增长</w:t>
      </w:r>
      <w:r>
        <w:rPr>
          <w:rFonts w:hint="eastAsia" w:ascii="仿宋_GB2312" w:hAnsi="仿宋" w:eastAsia="仿宋_GB2312" w:cs="宋体"/>
          <w:snapToGrid w:val="0"/>
          <w:kern w:val="0"/>
          <w:sz w:val="32"/>
          <w:szCs w:val="32"/>
          <w:highlight w:val="none"/>
          <w:u w:val="none"/>
          <w:lang w:val="en-US" w:eastAsia="zh-CN"/>
        </w:rPr>
        <w:t>1.8</w:t>
      </w:r>
      <w:r>
        <w:rPr>
          <w:rFonts w:ascii="仿宋_GB2312" w:hAnsi="仿宋" w:eastAsia="仿宋_GB2312" w:cs="宋体"/>
          <w:snapToGrid w:val="0"/>
          <w:kern w:val="0"/>
          <w:sz w:val="32"/>
          <w:szCs w:val="32"/>
          <w:highlight w:val="none"/>
          <w:u w:val="none"/>
        </w:rPr>
        <w:t>%</w:t>
      </w:r>
      <w:r>
        <w:rPr>
          <w:rFonts w:hint="eastAsia" w:ascii="仿宋_GB2312" w:hAnsi="仿宋" w:eastAsia="仿宋_GB2312" w:cs="宋体"/>
          <w:snapToGrid w:val="0"/>
          <w:kern w:val="0"/>
          <w:sz w:val="32"/>
          <w:szCs w:val="32"/>
          <w:highlight w:val="none"/>
          <w:u w:val="none"/>
        </w:rPr>
        <w:t>；车船税</w:t>
      </w:r>
      <w:r>
        <w:rPr>
          <w:rFonts w:hint="eastAsia" w:ascii="仿宋_GB2312" w:hAnsi="仿宋" w:eastAsia="仿宋_GB2312" w:cs="宋体"/>
          <w:snapToGrid w:val="0"/>
          <w:kern w:val="0"/>
          <w:sz w:val="32"/>
          <w:szCs w:val="32"/>
          <w:highlight w:val="none"/>
          <w:u w:val="none"/>
          <w:lang w:val="en-US" w:eastAsia="zh-CN"/>
        </w:rPr>
        <w:t>2900</w:t>
      </w:r>
      <w:r>
        <w:rPr>
          <w:rFonts w:hint="eastAsia" w:ascii="仿宋_GB2312" w:hAnsi="仿宋" w:eastAsia="仿宋_GB2312" w:cs="宋体"/>
          <w:snapToGrid w:val="0"/>
          <w:kern w:val="0"/>
          <w:sz w:val="32"/>
          <w:szCs w:val="32"/>
          <w:highlight w:val="none"/>
          <w:u w:val="none"/>
        </w:rPr>
        <w:t>万元，增长3</w:t>
      </w:r>
      <w:r>
        <w:rPr>
          <w:rFonts w:hint="eastAsia" w:ascii="仿宋_GB2312" w:hAnsi="仿宋" w:eastAsia="仿宋_GB2312" w:cs="宋体"/>
          <w:snapToGrid w:val="0"/>
          <w:kern w:val="0"/>
          <w:sz w:val="32"/>
          <w:szCs w:val="32"/>
          <w:highlight w:val="none"/>
          <w:u w:val="none"/>
          <w:lang w:val="en-US" w:eastAsia="zh-CN"/>
        </w:rPr>
        <w:t>.5</w:t>
      </w:r>
      <w:r>
        <w:rPr>
          <w:rFonts w:hint="eastAsia" w:ascii="仿宋_GB2312" w:hAnsi="仿宋" w:eastAsia="仿宋_GB2312" w:cs="宋体"/>
          <w:snapToGrid w:val="0"/>
          <w:kern w:val="0"/>
          <w:sz w:val="32"/>
          <w:szCs w:val="32"/>
          <w:highlight w:val="none"/>
          <w:u w:val="none"/>
        </w:rPr>
        <w:t>%；土地增值税</w:t>
      </w:r>
      <w:r>
        <w:rPr>
          <w:rFonts w:hint="eastAsia" w:ascii="仿宋_GB2312" w:hAnsi="仿宋" w:eastAsia="仿宋_GB2312" w:cs="宋体"/>
          <w:snapToGrid w:val="0"/>
          <w:kern w:val="0"/>
          <w:sz w:val="32"/>
          <w:szCs w:val="32"/>
          <w:highlight w:val="none"/>
          <w:u w:val="none"/>
          <w:lang w:val="en-US" w:eastAsia="zh-CN"/>
        </w:rPr>
        <w:t>1615</w:t>
      </w:r>
      <w:r>
        <w:rPr>
          <w:rFonts w:hint="eastAsia" w:ascii="仿宋_GB2312" w:hAnsi="仿宋" w:eastAsia="仿宋_GB2312" w:cs="宋体"/>
          <w:snapToGrid w:val="0"/>
          <w:kern w:val="0"/>
          <w:sz w:val="32"/>
          <w:szCs w:val="32"/>
          <w:highlight w:val="none"/>
          <w:u w:val="none"/>
        </w:rPr>
        <w:t>万元，增长3</w:t>
      </w:r>
      <w:r>
        <w:rPr>
          <w:rFonts w:hint="eastAsia" w:ascii="仿宋_GB2312" w:hAnsi="仿宋" w:eastAsia="仿宋_GB2312" w:cs="宋体"/>
          <w:snapToGrid w:val="0"/>
          <w:kern w:val="0"/>
          <w:sz w:val="32"/>
          <w:szCs w:val="32"/>
          <w:highlight w:val="none"/>
          <w:u w:val="none"/>
          <w:lang w:val="en-US" w:eastAsia="zh-CN"/>
        </w:rPr>
        <w:t>.5</w:t>
      </w:r>
      <w:r>
        <w:rPr>
          <w:rFonts w:ascii="仿宋_GB2312" w:hAnsi="仿宋" w:eastAsia="仿宋_GB2312" w:cs="宋体"/>
          <w:snapToGrid w:val="0"/>
          <w:kern w:val="0"/>
          <w:sz w:val="32"/>
          <w:szCs w:val="32"/>
          <w:highlight w:val="none"/>
          <w:u w:val="none"/>
        </w:rPr>
        <w:t>%</w:t>
      </w:r>
      <w:r>
        <w:rPr>
          <w:rFonts w:hint="eastAsia" w:ascii="仿宋_GB2312" w:hAnsi="仿宋" w:eastAsia="仿宋_GB2312" w:cs="宋体"/>
          <w:snapToGrid w:val="0"/>
          <w:kern w:val="0"/>
          <w:sz w:val="32"/>
          <w:szCs w:val="32"/>
          <w:highlight w:val="none"/>
          <w:u w:val="none"/>
        </w:rPr>
        <w:t>；环境保护税</w:t>
      </w:r>
      <w:r>
        <w:rPr>
          <w:rFonts w:hint="eastAsia" w:ascii="仿宋_GB2312" w:hAnsi="仿宋" w:eastAsia="仿宋_GB2312" w:cs="宋体"/>
          <w:snapToGrid w:val="0"/>
          <w:kern w:val="0"/>
          <w:sz w:val="32"/>
          <w:szCs w:val="32"/>
          <w:highlight w:val="none"/>
          <w:u w:val="none"/>
          <w:lang w:val="en-US" w:eastAsia="zh-CN"/>
        </w:rPr>
        <w:t>490</w:t>
      </w:r>
      <w:r>
        <w:rPr>
          <w:rFonts w:hint="eastAsia" w:ascii="仿宋_GB2312" w:hAnsi="仿宋" w:eastAsia="仿宋_GB2312" w:cs="宋体"/>
          <w:snapToGrid w:val="0"/>
          <w:kern w:val="0"/>
          <w:sz w:val="32"/>
          <w:szCs w:val="32"/>
          <w:highlight w:val="none"/>
          <w:u w:val="none"/>
        </w:rPr>
        <w:t>万元，增长</w:t>
      </w:r>
      <w:r>
        <w:rPr>
          <w:rFonts w:hint="eastAsia" w:ascii="仿宋_GB2312" w:hAnsi="仿宋" w:eastAsia="仿宋_GB2312" w:cs="宋体"/>
          <w:snapToGrid w:val="0"/>
          <w:kern w:val="0"/>
          <w:sz w:val="32"/>
          <w:szCs w:val="32"/>
          <w:highlight w:val="none"/>
          <w:u w:val="none"/>
          <w:lang w:val="en-US" w:eastAsia="zh-CN"/>
        </w:rPr>
        <w:t>0.6</w:t>
      </w:r>
      <w:r>
        <w:rPr>
          <w:rFonts w:ascii="仿宋_GB2312" w:hAnsi="仿宋" w:eastAsia="仿宋_GB2312" w:cs="宋体"/>
          <w:snapToGrid w:val="0"/>
          <w:kern w:val="0"/>
          <w:sz w:val="32"/>
          <w:szCs w:val="32"/>
          <w:highlight w:val="none"/>
          <w:u w:val="none"/>
        </w:rPr>
        <w:t>%</w:t>
      </w:r>
      <w:r>
        <w:rPr>
          <w:rFonts w:hint="eastAsia" w:ascii="仿宋_GB2312" w:hAnsi="仿宋" w:eastAsia="仿宋_GB2312" w:cs="宋体"/>
          <w:snapToGrid w:val="0"/>
          <w:kern w:val="0"/>
          <w:sz w:val="32"/>
          <w:szCs w:val="32"/>
          <w:highlight w:val="none"/>
          <w:u w:val="none"/>
        </w:rPr>
        <w:t>；耕地占用税</w:t>
      </w:r>
      <w:r>
        <w:rPr>
          <w:rFonts w:hint="eastAsia" w:ascii="仿宋_GB2312" w:hAnsi="仿宋" w:eastAsia="仿宋_GB2312" w:cs="宋体"/>
          <w:snapToGrid w:val="0"/>
          <w:kern w:val="0"/>
          <w:sz w:val="32"/>
          <w:szCs w:val="32"/>
          <w:highlight w:val="none"/>
          <w:u w:val="none"/>
          <w:lang w:val="en-US" w:eastAsia="zh-CN"/>
        </w:rPr>
        <w:t>600</w:t>
      </w:r>
      <w:r>
        <w:rPr>
          <w:rFonts w:hint="eastAsia" w:ascii="仿宋_GB2312" w:hAnsi="仿宋" w:eastAsia="仿宋_GB2312" w:cs="宋体"/>
          <w:snapToGrid w:val="0"/>
          <w:kern w:val="0"/>
          <w:sz w:val="32"/>
          <w:szCs w:val="32"/>
          <w:highlight w:val="none"/>
          <w:u w:val="none"/>
        </w:rPr>
        <w:t>万元，</w:t>
      </w:r>
      <w:r>
        <w:rPr>
          <w:rFonts w:hint="eastAsia" w:ascii="仿宋_GB2312" w:hAnsi="仿宋" w:eastAsia="仿宋_GB2312" w:cs="宋体"/>
          <w:snapToGrid w:val="0"/>
          <w:kern w:val="0"/>
          <w:sz w:val="32"/>
          <w:szCs w:val="32"/>
          <w:highlight w:val="none"/>
          <w:u w:val="none"/>
          <w:lang w:val="en-US" w:eastAsia="zh-CN"/>
        </w:rPr>
        <w:t>增长1</w:t>
      </w:r>
      <w:r>
        <w:rPr>
          <w:rFonts w:ascii="仿宋_GB2312" w:hAnsi="仿宋" w:eastAsia="仿宋_GB2312" w:cs="宋体"/>
          <w:snapToGrid w:val="0"/>
          <w:kern w:val="0"/>
          <w:sz w:val="32"/>
          <w:szCs w:val="32"/>
          <w:highlight w:val="none"/>
          <w:u w:val="none"/>
        </w:rPr>
        <w:t>%</w:t>
      </w:r>
      <w:r>
        <w:rPr>
          <w:rFonts w:hint="eastAsia" w:ascii="仿宋_GB2312" w:hAnsi="仿宋" w:eastAsia="仿宋_GB2312" w:cs="宋体"/>
          <w:snapToGrid w:val="0"/>
          <w:kern w:val="0"/>
          <w:sz w:val="32"/>
          <w:szCs w:val="32"/>
          <w:highlight w:val="none"/>
          <w:u w:val="none"/>
          <w:lang w:eastAsia="zh-CN"/>
        </w:rPr>
        <w:t>（</w:t>
      </w:r>
      <w:r>
        <w:rPr>
          <w:rFonts w:hint="eastAsia" w:ascii="仿宋_GB2312" w:hAnsi="仿宋" w:eastAsia="仿宋_GB2312" w:cs="宋体"/>
          <w:snapToGrid w:val="0"/>
          <w:kern w:val="0"/>
          <w:sz w:val="32"/>
          <w:szCs w:val="32"/>
          <w:highlight w:val="none"/>
          <w:u w:val="none"/>
          <w:lang w:val="en-US" w:eastAsia="zh-CN"/>
        </w:rPr>
        <w:t>剔除村村通补缴耕地占用税一次性增长因素</w:t>
      </w:r>
      <w:r>
        <w:rPr>
          <w:rFonts w:hint="eastAsia" w:ascii="仿宋_GB2312" w:hAnsi="仿宋" w:eastAsia="仿宋_GB2312" w:cs="宋体"/>
          <w:snapToGrid w:val="0"/>
          <w:kern w:val="0"/>
          <w:sz w:val="32"/>
          <w:szCs w:val="32"/>
          <w:highlight w:val="none"/>
          <w:u w:val="none"/>
          <w:lang w:eastAsia="zh-CN"/>
        </w:rPr>
        <w:t>）</w:t>
      </w:r>
      <w:r>
        <w:rPr>
          <w:rFonts w:hint="eastAsia" w:ascii="仿宋_GB2312" w:hAnsi="仿宋" w:eastAsia="仿宋_GB2312" w:cs="宋体"/>
          <w:snapToGrid w:val="0"/>
          <w:kern w:val="0"/>
          <w:sz w:val="32"/>
          <w:szCs w:val="32"/>
          <w:highlight w:val="none"/>
          <w:u w:val="none"/>
        </w:rPr>
        <w:t>；契税</w:t>
      </w:r>
      <w:r>
        <w:rPr>
          <w:rFonts w:hint="eastAsia" w:ascii="仿宋_GB2312" w:hAnsi="仿宋" w:eastAsia="仿宋_GB2312" w:cs="宋体"/>
          <w:snapToGrid w:val="0"/>
          <w:kern w:val="0"/>
          <w:sz w:val="32"/>
          <w:szCs w:val="32"/>
          <w:highlight w:val="none"/>
          <w:u w:val="none"/>
          <w:lang w:val="en-US" w:eastAsia="zh-CN"/>
        </w:rPr>
        <w:t>2693</w:t>
      </w:r>
      <w:r>
        <w:rPr>
          <w:rFonts w:hint="eastAsia" w:ascii="仿宋_GB2312" w:hAnsi="仿宋" w:eastAsia="仿宋_GB2312" w:cs="宋体"/>
          <w:snapToGrid w:val="0"/>
          <w:kern w:val="0"/>
          <w:sz w:val="32"/>
          <w:szCs w:val="32"/>
          <w:highlight w:val="none"/>
          <w:u w:val="none"/>
        </w:rPr>
        <w:t>万元，</w:t>
      </w:r>
      <w:r>
        <w:rPr>
          <w:rFonts w:hint="eastAsia" w:ascii="仿宋_GB2312" w:hAnsi="仿宋" w:eastAsia="仿宋_GB2312" w:cs="宋体"/>
          <w:snapToGrid w:val="0"/>
          <w:color w:val="auto"/>
          <w:kern w:val="0"/>
          <w:sz w:val="32"/>
          <w:szCs w:val="32"/>
          <w:highlight w:val="none"/>
          <w:u w:val="none"/>
        </w:rPr>
        <w:t>增长</w:t>
      </w:r>
      <w:r>
        <w:rPr>
          <w:rFonts w:hint="eastAsia" w:ascii="仿宋_GB2312" w:hAnsi="仿宋" w:eastAsia="仿宋_GB2312" w:cs="宋体"/>
          <w:snapToGrid w:val="0"/>
          <w:color w:val="auto"/>
          <w:kern w:val="0"/>
          <w:sz w:val="32"/>
          <w:szCs w:val="32"/>
          <w:highlight w:val="none"/>
          <w:u w:val="none"/>
          <w:lang w:val="en-US" w:eastAsia="zh-CN"/>
        </w:rPr>
        <w:t>3.5</w:t>
      </w:r>
      <w:r>
        <w:rPr>
          <w:rFonts w:ascii="仿宋_GB2312" w:hAnsi="仿宋" w:eastAsia="仿宋_GB2312" w:cs="宋体"/>
          <w:snapToGrid w:val="0"/>
          <w:color w:val="auto"/>
          <w:kern w:val="0"/>
          <w:sz w:val="32"/>
          <w:szCs w:val="32"/>
          <w:highlight w:val="none"/>
          <w:u w:val="none"/>
        </w:rPr>
        <w:t>%</w:t>
      </w:r>
      <w:r>
        <w:rPr>
          <w:rFonts w:hint="eastAsia" w:ascii="仿宋_GB2312" w:hAnsi="仿宋" w:eastAsia="仿宋_GB2312" w:cs="宋体"/>
          <w:snapToGrid w:val="0"/>
          <w:kern w:val="0"/>
          <w:sz w:val="32"/>
          <w:szCs w:val="32"/>
          <w:highlight w:val="none"/>
          <w:u w:val="none"/>
        </w:rPr>
        <w:t>；烟叶税</w:t>
      </w:r>
      <w:r>
        <w:rPr>
          <w:rFonts w:hint="eastAsia" w:ascii="仿宋_GB2312" w:hAnsi="仿宋" w:eastAsia="仿宋_GB2312" w:cs="宋体"/>
          <w:snapToGrid w:val="0"/>
          <w:kern w:val="0"/>
          <w:sz w:val="32"/>
          <w:szCs w:val="32"/>
          <w:highlight w:val="none"/>
          <w:u w:val="none"/>
          <w:lang w:val="en-US" w:eastAsia="zh-CN"/>
        </w:rPr>
        <w:t>370</w:t>
      </w:r>
      <w:r>
        <w:rPr>
          <w:rFonts w:hint="eastAsia" w:ascii="仿宋_GB2312" w:hAnsi="仿宋" w:eastAsia="仿宋_GB2312" w:cs="宋体"/>
          <w:snapToGrid w:val="0"/>
          <w:kern w:val="0"/>
          <w:sz w:val="32"/>
          <w:szCs w:val="32"/>
          <w:highlight w:val="none"/>
          <w:u w:val="none"/>
        </w:rPr>
        <w:t>万元，增长</w:t>
      </w:r>
      <w:r>
        <w:rPr>
          <w:rFonts w:hint="eastAsia" w:ascii="仿宋_GB2312" w:hAnsi="仿宋" w:eastAsia="仿宋_GB2312" w:cs="宋体"/>
          <w:snapToGrid w:val="0"/>
          <w:kern w:val="0"/>
          <w:sz w:val="32"/>
          <w:szCs w:val="32"/>
          <w:highlight w:val="none"/>
          <w:u w:val="none"/>
          <w:lang w:val="en-US" w:eastAsia="zh-CN"/>
        </w:rPr>
        <w:t>5.1</w:t>
      </w:r>
      <w:r>
        <w:rPr>
          <w:rFonts w:ascii="仿宋_GB2312" w:hAnsi="仿宋" w:eastAsia="仿宋_GB2312" w:cs="宋体"/>
          <w:snapToGrid w:val="0"/>
          <w:kern w:val="0"/>
          <w:sz w:val="32"/>
          <w:szCs w:val="32"/>
          <w:highlight w:val="none"/>
          <w:u w:val="none"/>
        </w:rPr>
        <w:t>%</w:t>
      </w:r>
      <w:r>
        <w:rPr>
          <w:rFonts w:hint="eastAsia" w:ascii="仿宋_GB2312" w:hAnsi="仿宋" w:eastAsia="仿宋_GB2312" w:cs="宋体"/>
          <w:snapToGrid w:val="0"/>
          <w:kern w:val="0"/>
          <w:sz w:val="32"/>
          <w:szCs w:val="32"/>
          <w:highlight w:val="none"/>
          <w:u w:val="none"/>
          <w:lang w:eastAsia="zh-CN"/>
        </w:rPr>
        <w:t>。</w:t>
      </w:r>
      <w:r>
        <w:rPr>
          <w:rFonts w:hint="eastAsia" w:ascii="仿宋_GB2312" w:hAnsi="仿宋" w:eastAsia="仿宋_GB2312" w:cs="宋体"/>
          <w:snapToGrid w:val="0"/>
          <w:kern w:val="0"/>
          <w:sz w:val="32"/>
          <w:szCs w:val="32"/>
          <w:highlight w:val="yellow"/>
          <w:u w:val="none"/>
        </w:rPr>
        <w:t>非税收</w:t>
      </w:r>
      <w:r>
        <w:rPr>
          <w:rFonts w:hint="eastAsia" w:ascii="仿宋_GB2312" w:hAnsi="仿宋" w:eastAsia="仿宋_GB2312" w:cs="宋体"/>
          <w:snapToGrid w:val="0"/>
          <w:kern w:val="0"/>
          <w:sz w:val="32"/>
          <w:szCs w:val="32"/>
          <w:highlight w:val="yellow"/>
        </w:rPr>
        <w:t>入</w:t>
      </w:r>
      <w:r>
        <w:rPr>
          <w:rFonts w:hint="eastAsia" w:ascii="仿宋_GB2312" w:hAnsi="仿宋" w:eastAsia="仿宋_GB2312" w:cs="宋体"/>
          <w:snapToGrid w:val="0"/>
          <w:kern w:val="0"/>
          <w:sz w:val="32"/>
          <w:szCs w:val="32"/>
          <w:highlight w:val="yellow"/>
          <w:lang w:val="en-US" w:eastAsia="zh-CN"/>
        </w:rPr>
        <w:t>41600</w:t>
      </w:r>
      <w:r>
        <w:rPr>
          <w:rFonts w:hint="eastAsia" w:ascii="仿宋_GB2312" w:hAnsi="仿宋" w:eastAsia="仿宋_GB2312" w:cs="宋体"/>
          <w:snapToGrid w:val="0"/>
          <w:kern w:val="0"/>
          <w:sz w:val="32"/>
          <w:szCs w:val="32"/>
          <w:highlight w:val="yellow"/>
        </w:rPr>
        <w:t>万元。</w:t>
      </w:r>
      <w:r>
        <w:rPr>
          <w:rFonts w:hint="eastAsia" w:ascii="仿宋_GB2312" w:hAnsi="仿宋" w:eastAsia="仿宋_GB2312"/>
          <w:bCs/>
          <w:sz w:val="32"/>
          <w:szCs w:val="32"/>
          <w:highlight w:val="none"/>
          <w:lang w:eastAsia="zh-CN"/>
        </w:rPr>
        <w:t>（</w:t>
      </w:r>
      <w:r>
        <w:rPr>
          <w:rFonts w:hint="eastAsia" w:ascii="仿宋_GB2312" w:hAnsi="仿宋" w:eastAsia="仿宋_GB2312"/>
          <w:bCs/>
          <w:sz w:val="32"/>
          <w:szCs w:val="32"/>
          <w:highlight w:val="none"/>
          <w:lang w:val="en-US" w:eastAsia="zh-CN"/>
        </w:rPr>
        <w:t>详见附表七</w:t>
      </w:r>
      <w:r>
        <w:rPr>
          <w:rFonts w:hint="eastAsia" w:ascii="仿宋_GB2312" w:hAnsi="仿宋" w:eastAsia="仿宋_GB2312"/>
          <w:bCs/>
          <w:sz w:val="32"/>
          <w:szCs w:val="32"/>
          <w:highlight w:val="none"/>
          <w:lang w:eastAsia="zh-CN"/>
        </w:rPr>
        <w:t>）</w:t>
      </w:r>
    </w:p>
    <w:p w14:paraId="48F3B29F">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3" w:firstLineChars="200"/>
        <w:textAlignment w:val="auto"/>
        <w:rPr>
          <w:rFonts w:ascii="仿宋_GB2312" w:hAnsi="仿宋" w:eastAsia="仿宋_GB2312" w:cs="宋体"/>
          <w:snapToGrid w:val="0"/>
          <w:kern w:val="0"/>
          <w:sz w:val="32"/>
          <w:szCs w:val="32"/>
          <w:highlight w:val="none"/>
        </w:rPr>
      </w:pPr>
      <w:r>
        <w:rPr>
          <w:rFonts w:hint="eastAsia" w:ascii="仿宋_GB2312" w:hAnsi="仿宋" w:eastAsia="仿宋_GB2312" w:cs="宋体"/>
          <w:b/>
          <w:snapToGrid w:val="0"/>
          <w:kern w:val="0"/>
          <w:sz w:val="32"/>
          <w:szCs w:val="32"/>
          <w:highlight w:val="none"/>
        </w:rPr>
        <w:t xml:space="preserve">支出安排 </w:t>
      </w:r>
      <w:r>
        <w:rPr>
          <w:rFonts w:hint="eastAsia" w:ascii="仿宋_GB2312" w:hAnsi="仿宋" w:eastAsia="仿宋_GB2312" w:cs="宋体"/>
          <w:b/>
          <w:snapToGrid w:val="0"/>
          <w:kern w:val="0"/>
          <w:sz w:val="32"/>
          <w:szCs w:val="32"/>
          <w:highlight w:val="none"/>
          <w:lang w:val="en-US" w:eastAsia="zh-CN"/>
        </w:rPr>
        <w:t xml:space="preserve"> </w:t>
      </w:r>
      <w:r>
        <w:rPr>
          <w:rFonts w:ascii="仿宋_GB2312" w:hAnsi="仿宋" w:eastAsia="仿宋_GB2312" w:cs="宋体"/>
          <w:snapToGrid w:val="0"/>
          <w:kern w:val="0"/>
          <w:sz w:val="32"/>
          <w:szCs w:val="32"/>
          <w:highlight w:val="none"/>
        </w:rPr>
        <w:t>202</w:t>
      </w:r>
      <w:r>
        <w:rPr>
          <w:rFonts w:hint="eastAsia" w:ascii="仿宋_GB2312" w:hAnsi="仿宋" w:eastAsia="仿宋_GB2312" w:cs="宋体"/>
          <w:snapToGrid w:val="0"/>
          <w:kern w:val="0"/>
          <w:sz w:val="32"/>
          <w:szCs w:val="32"/>
          <w:highlight w:val="none"/>
          <w:lang w:val="en-US" w:eastAsia="zh-CN"/>
        </w:rPr>
        <w:t>6</w:t>
      </w:r>
      <w:r>
        <w:rPr>
          <w:rFonts w:hint="eastAsia" w:ascii="仿宋_GB2312" w:hAnsi="仿宋" w:eastAsia="仿宋_GB2312" w:cs="宋体"/>
          <w:snapToGrid w:val="0"/>
          <w:kern w:val="0"/>
          <w:sz w:val="32"/>
          <w:szCs w:val="32"/>
          <w:highlight w:val="none"/>
        </w:rPr>
        <w:t>年支出预算</w:t>
      </w:r>
      <w:r>
        <w:rPr>
          <w:rFonts w:hint="eastAsia" w:ascii="仿宋_GB2312" w:hAnsi="仿宋" w:eastAsia="仿宋_GB2312" w:cs="宋体"/>
          <w:snapToGrid w:val="0"/>
          <w:kern w:val="0"/>
          <w:sz w:val="32"/>
          <w:szCs w:val="32"/>
          <w:highlight w:val="none"/>
          <w:lang w:eastAsia="zh-CN"/>
        </w:rPr>
        <w:t>安排为</w:t>
      </w:r>
      <w:r>
        <w:rPr>
          <w:rFonts w:hint="eastAsia" w:ascii="仿宋_GB2312" w:hAnsi="仿宋" w:eastAsia="仿宋_GB2312" w:cs="宋体"/>
          <w:snapToGrid w:val="0"/>
          <w:kern w:val="0"/>
          <w:sz w:val="32"/>
          <w:szCs w:val="32"/>
          <w:highlight w:val="none"/>
          <w:lang w:val="en-US" w:eastAsia="zh-CN"/>
        </w:rPr>
        <w:t>330135</w:t>
      </w:r>
      <w:r>
        <w:rPr>
          <w:rFonts w:hint="eastAsia" w:ascii="仿宋_GB2312" w:hAnsi="仿宋" w:eastAsia="仿宋_GB2312" w:cs="宋体"/>
          <w:snapToGrid w:val="0"/>
          <w:kern w:val="0"/>
          <w:sz w:val="32"/>
          <w:szCs w:val="32"/>
          <w:highlight w:val="none"/>
        </w:rPr>
        <w:t>万元，</w:t>
      </w:r>
      <w:r>
        <w:rPr>
          <w:rFonts w:hint="eastAsia" w:ascii="仿宋_GB2312" w:hAnsi="仿宋" w:eastAsia="仿宋_GB2312" w:cs="宋体"/>
          <w:snapToGrid w:val="0"/>
          <w:kern w:val="0"/>
          <w:sz w:val="32"/>
          <w:szCs w:val="32"/>
          <w:highlight w:val="none"/>
          <w:lang w:eastAsia="zh-CN"/>
        </w:rPr>
        <w:t>其具体构成如下，经测算当年可供安排财力为</w:t>
      </w:r>
      <w:r>
        <w:rPr>
          <w:rFonts w:hint="eastAsia" w:ascii="仿宋_GB2312" w:hAnsi="仿宋" w:eastAsia="仿宋_GB2312" w:cs="宋体"/>
          <w:snapToGrid w:val="0"/>
          <w:kern w:val="0"/>
          <w:sz w:val="32"/>
          <w:szCs w:val="32"/>
          <w:highlight w:val="none"/>
          <w:lang w:val="en-US" w:eastAsia="zh-CN"/>
        </w:rPr>
        <w:t>289556万元，扣除上解支出38668万元和一般债券还本支出4789万元，再加上上级提前下达的专项补助53936万元，</w:t>
      </w:r>
      <w:r>
        <w:rPr>
          <w:rFonts w:hint="eastAsia" w:ascii="仿宋_GB2312" w:hAnsi="仿宋" w:eastAsia="仿宋_GB2312" w:cs="宋体"/>
          <w:snapToGrid w:val="0"/>
          <w:kern w:val="0"/>
          <w:sz w:val="32"/>
          <w:szCs w:val="32"/>
          <w:highlight w:val="none"/>
        </w:rPr>
        <w:t>调入政府性基金预算</w:t>
      </w:r>
      <w:r>
        <w:rPr>
          <w:rFonts w:hint="eastAsia" w:ascii="仿宋_GB2312" w:hAnsi="仿宋" w:eastAsia="仿宋_GB2312" w:cs="宋体"/>
          <w:snapToGrid w:val="0"/>
          <w:kern w:val="0"/>
          <w:sz w:val="32"/>
          <w:szCs w:val="32"/>
          <w:highlight w:val="none"/>
          <w:lang w:val="en-US" w:eastAsia="zh-CN"/>
        </w:rPr>
        <w:t>161</w:t>
      </w:r>
      <w:r>
        <w:rPr>
          <w:rFonts w:hint="eastAsia" w:ascii="仿宋_GB2312" w:hAnsi="仿宋" w:eastAsia="仿宋_GB2312" w:cs="宋体"/>
          <w:snapToGrid w:val="0"/>
          <w:kern w:val="0"/>
          <w:sz w:val="32"/>
          <w:szCs w:val="32"/>
          <w:highlight w:val="none"/>
        </w:rPr>
        <w:t>00万元，调入国有资本经营预算收入1</w:t>
      </w:r>
      <w:r>
        <w:rPr>
          <w:rFonts w:hint="eastAsia" w:ascii="仿宋_GB2312" w:hAnsi="仿宋" w:eastAsia="仿宋_GB2312" w:cs="宋体"/>
          <w:snapToGrid w:val="0"/>
          <w:kern w:val="0"/>
          <w:sz w:val="32"/>
          <w:szCs w:val="32"/>
          <w:highlight w:val="none"/>
          <w:lang w:val="en-US" w:eastAsia="zh-CN"/>
        </w:rPr>
        <w:t>2</w:t>
      </w:r>
      <w:r>
        <w:rPr>
          <w:rFonts w:hint="eastAsia" w:ascii="仿宋_GB2312" w:hAnsi="仿宋" w:eastAsia="仿宋_GB2312" w:cs="宋体"/>
          <w:snapToGrid w:val="0"/>
          <w:kern w:val="0"/>
          <w:sz w:val="32"/>
          <w:szCs w:val="32"/>
          <w:highlight w:val="none"/>
        </w:rPr>
        <w:t>000万元，动用预算稳定调节基金</w:t>
      </w:r>
      <w:r>
        <w:rPr>
          <w:rFonts w:hint="eastAsia" w:ascii="仿宋_GB2312" w:hAnsi="仿宋" w:eastAsia="仿宋_GB2312" w:cs="宋体"/>
          <w:snapToGrid w:val="0"/>
          <w:kern w:val="0"/>
          <w:sz w:val="32"/>
          <w:szCs w:val="32"/>
          <w:highlight w:val="none"/>
          <w:lang w:val="en-US" w:eastAsia="zh-CN"/>
        </w:rPr>
        <w:t>2</w:t>
      </w:r>
      <w:r>
        <w:rPr>
          <w:rFonts w:hint="eastAsia" w:ascii="仿宋_GB2312" w:hAnsi="仿宋" w:eastAsia="仿宋_GB2312" w:cs="宋体"/>
          <w:snapToGrid w:val="0"/>
          <w:kern w:val="0"/>
          <w:sz w:val="32"/>
          <w:szCs w:val="32"/>
          <w:highlight w:val="none"/>
        </w:rPr>
        <w:t>000万元</w:t>
      </w:r>
      <w:r>
        <w:rPr>
          <w:rFonts w:hint="eastAsia" w:ascii="仿宋_GB2312" w:hAnsi="仿宋" w:eastAsia="仿宋_GB2312" w:cs="宋体"/>
          <w:snapToGrid w:val="0"/>
          <w:kern w:val="0"/>
          <w:sz w:val="32"/>
          <w:szCs w:val="32"/>
          <w:highlight w:val="none"/>
          <w:lang w:eastAsia="zh-CN"/>
        </w:rPr>
        <w:t>，</w:t>
      </w:r>
      <w:r>
        <w:rPr>
          <w:rFonts w:hint="eastAsia" w:ascii="仿宋_GB2312" w:hAnsi="仿宋" w:eastAsia="仿宋_GB2312" w:cs="宋体"/>
          <w:snapToGrid w:val="0"/>
          <w:kern w:val="0"/>
          <w:sz w:val="32"/>
          <w:szCs w:val="32"/>
          <w:highlight w:val="none"/>
        </w:rPr>
        <w:t>同</w:t>
      </w:r>
      <w:r>
        <w:rPr>
          <w:rFonts w:hint="eastAsia" w:ascii="仿宋_GB2312" w:hAnsi="仿宋" w:eastAsia="仿宋_GB2312" w:cs="宋体"/>
          <w:snapToGrid w:val="0"/>
          <w:kern w:val="0"/>
          <w:sz w:val="32"/>
          <w:szCs w:val="32"/>
          <w:highlight w:val="none"/>
          <w:lang w:val="en-US" w:eastAsia="zh-CN"/>
        </w:rPr>
        <w:t>2025年调整预算数</w:t>
      </w:r>
      <w:r>
        <w:rPr>
          <w:rFonts w:hint="eastAsia" w:ascii="仿宋_GB2312" w:hAnsi="仿宋" w:eastAsia="仿宋_GB2312" w:cs="宋体"/>
          <w:snapToGrid w:val="0"/>
          <w:kern w:val="0"/>
          <w:sz w:val="32"/>
          <w:szCs w:val="32"/>
          <w:highlight w:val="none"/>
        </w:rPr>
        <w:t>比增加</w:t>
      </w:r>
      <w:r>
        <w:rPr>
          <w:rFonts w:hint="eastAsia" w:ascii="仿宋_GB2312" w:hAnsi="仿宋" w:eastAsia="仿宋_GB2312" w:cs="宋体"/>
          <w:snapToGrid w:val="0"/>
          <w:kern w:val="0"/>
          <w:sz w:val="32"/>
          <w:szCs w:val="32"/>
          <w:highlight w:val="none"/>
          <w:lang w:val="en-US" w:eastAsia="zh-CN"/>
        </w:rPr>
        <w:t>5.78</w:t>
      </w:r>
      <w:r>
        <w:rPr>
          <w:rFonts w:ascii="仿宋_GB2312" w:hAnsi="仿宋" w:eastAsia="仿宋_GB2312" w:cs="宋体"/>
          <w:snapToGrid w:val="0"/>
          <w:kern w:val="0"/>
          <w:sz w:val="32"/>
          <w:szCs w:val="32"/>
          <w:highlight w:val="none"/>
        </w:rPr>
        <w:t>%</w:t>
      </w:r>
      <w:r>
        <w:rPr>
          <w:rFonts w:hint="eastAsia" w:ascii="仿宋_GB2312" w:hAnsi="仿宋" w:eastAsia="仿宋_GB2312" w:cs="宋体"/>
          <w:snapToGrid w:val="0"/>
          <w:kern w:val="0"/>
          <w:sz w:val="32"/>
          <w:szCs w:val="32"/>
          <w:highlight w:val="none"/>
        </w:rPr>
        <w:t>。其中：一般公共服务支出</w:t>
      </w:r>
      <w:r>
        <w:rPr>
          <w:rFonts w:hint="eastAsia" w:ascii="仿宋_GB2312" w:hAnsi="仿宋" w:eastAsia="仿宋_GB2312" w:cs="宋体"/>
          <w:snapToGrid w:val="0"/>
          <w:kern w:val="0"/>
          <w:sz w:val="32"/>
          <w:szCs w:val="32"/>
          <w:highlight w:val="none"/>
          <w:lang w:val="en-US" w:eastAsia="zh-CN"/>
        </w:rPr>
        <w:t>6710</w:t>
      </w:r>
      <w:r>
        <w:rPr>
          <w:rFonts w:hint="eastAsia" w:ascii="仿宋_GB2312" w:hAnsi="仿宋" w:eastAsia="仿宋_GB2312" w:cs="宋体"/>
          <w:snapToGrid w:val="0"/>
          <w:kern w:val="0"/>
          <w:sz w:val="32"/>
          <w:szCs w:val="32"/>
          <w:highlight w:val="none"/>
        </w:rPr>
        <w:t>万元；公共安全支出5</w:t>
      </w:r>
      <w:r>
        <w:rPr>
          <w:rFonts w:hint="eastAsia" w:ascii="仿宋_GB2312" w:hAnsi="仿宋" w:eastAsia="仿宋_GB2312" w:cs="宋体"/>
          <w:snapToGrid w:val="0"/>
          <w:kern w:val="0"/>
          <w:sz w:val="32"/>
          <w:szCs w:val="32"/>
          <w:highlight w:val="none"/>
          <w:lang w:val="en-US" w:eastAsia="zh-CN"/>
        </w:rPr>
        <w:t>3</w:t>
      </w:r>
      <w:r>
        <w:rPr>
          <w:rFonts w:hint="eastAsia" w:ascii="仿宋_GB2312" w:hAnsi="仿宋" w:eastAsia="仿宋_GB2312" w:cs="宋体"/>
          <w:snapToGrid w:val="0"/>
          <w:kern w:val="0"/>
          <w:sz w:val="32"/>
          <w:szCs w:val="32"/>
          <w:highlight w:val="none"/>
        </w:rPr>
        <w:t>34万元，</w:t>
      </w:r>
      <w:r>
        <w:rPr>
          <w:rFonts w:hint="eastAsia" w:ascii="仿宋_GB2312" w:hAnsi="仿宋" w:eastAsia="仿宋_GB2312" w:cs="宋体"/>
          <w:snapToGrid w:val="0"/>
          <w:kern w:val="0"/>
          <w:sz w:val="32"/>
          <w:szCs w:val="32"/>
          <w:highlight w:val="none"/>
          <w:lang w:val="en-US" w:eastAsia="zh-CN"/>
        </w:rPr>
        <w:t>下降2.9%</w:t>
      </w:r>
      <w:r>
        <w:rPr>
          <w:rFonts w:hint="eastAsia" w:ascii="仿宋_GB2312" w:hAnsi="仿宋" w:eastAsia="仿宋_GB2312" w:cs="宋体"/>
          <w:snapToGrid w:val="0"/>
          <w:kern w:val="0"/>
          <w:sz w:val="32"/>
          <w:szCs w:val="32"/>
          <w:highlight w:val="none"/>
        </w:rPr>
        <w:t>；国防支出49万元，与上年持平；教育支出</w:t>
      </w:r>
      <w:r>
        <w:rPr>
          <w:rFonts w:hint="eastAsia" w:ascii="仿宋_GB2312" w:hAnsi="仿宋" w:eastAsia="仿宋_GB2312" w:cs="宋体"/>
          <w:snapToGrid w:val="0"/>
          <w:kern w:val="0"/>
          <w:sz w:val="32"/>
          <w:szCs w:val="32"/>
          <w:highlight w:val="none"/>
          <w:lang w:val="en-US" w:eastAsia="zh-CN"/>
        </w:rPr>
        <w:t>108368</w:t>
      </w:r>
      <w:r>
        <w:rPr>
          <w:rFonts w:hint="eastAsia" w:ascii="仿宋_GB2312" w:hAnsi="仿宋" w:eastAsia="仿宋_GB2312" w:cs="宋体"/>
          <w:snapToGrid w:val="0"/>
          <w:kern w:val="0"/>
          <w:sz w:val="32"/>
          <w:szCs w:val="32"/>
          <w:highlight w:val="none"/>
        </w:rPr>
        <w:t>万元，增长</w:t>
      </w:r>
      <w:r>
        <w:rPr>
          <w:rFonts w:hint="eastAsia" w:ascii="仿宋_GB2312" w:hAnsi="仿宋" w:eastAsia="仿宋_GB2312" w:cs="宋体"/>
          <w:snapToGrid w:val="0"/>
          <w:kern w:val="0"/>
          <w:sz w:val="32"/>
          <w:szCs w:val="32"/>
          <w:highlight w:val="none"/>
          <w:lang w:val="en-US" w:eastAsia="zh-CN"/>
        </w:rPr>
        <w:t>4.32</w:t>
      </w:r>
      <w:r>
        <w:rPr>
          <w:rFonts w:ascii="仿宋_GB2312" w:hAnsi="仿宋" w:eastAsia="仿宋_GB2312" w:cs="宋体"/>
          <w:snapToGrid w:val="0"/>
          <w:kern w:val="0"/>
          <w:sz w:val="32"/>
          <w:szCs w:val="32"/>
          <w:highlight w:val="none"/>
        </w:rPr>
        <w:t>%</w:t>
      </w:r>
      <w:r>
        <w:rPr>
          <w:rFonts w:hint="eastAsia" w:ascii="仿宋_GB2312" w:hAnsi="仿宋" w:eastAsia="仿宋_GB2312" w:cs="宋体"/>
          <w:snapToGrid w:val="0"/>
          <w:kern w:val="0"/>
          <w:sz w:val="32"/>
          <w:szCs w:val="32"/>
          <w:highlight w:val="none"/>
        </w:rPr>
        <w:t>；科学技术支出11</w:t>
      </w:r>
      <w:r>
        <w:rPr>
          <w:rFonts w:hint="eastAsia" w:ascii="仿宋_GB2312" w:hAnsi="仿宋" w:eastAsia="仿宋_GB2312" w:cs="宋体"/>
          <w:snapToGrid w:val="0"/>
          <w:kern w:val="0"/>
          <w:sz w:val="32"/>
          <w:szCs w:val="32"/>
          <w:highlight w:val="none"/>
          <w:lang w:val="en-US" w:eastAsia="zh-CN"/>
        </w:rPr>
        <w:t>891</w:t>
      </w:r>
      <w:r>
        <w:rPr>
          <w:rFonts w:hint="eastAsia" w:ascii="仿宋_GB2312" w:hAnsi="仿宋" w:eastAsia="仿宋_GB2312" w:cs="宋体"/>
          <w:snapToGrid w:val="0"/>
          <w:kern w:val="0"/>
          <w:sz w:val="32"/>
          <w:szCs w:val="32"/>
          <w:highlight w:val="none"/>
        </w:rPr>
        <w:t>万元，增长</w:t>
      </w:r>
      <w:r>
        <w:rPr>
          <w:rFonts w:hint="eastAsia" w:ascii="仿宋_GB2312" w:hAnsi="仿宋" w:eastAsia="仿宋_GB2312" w:cs="宋体"/>
          <w:snapToGrid w:val="0"/>
          <w:kern w:val="0"/>
          <w:sz w:val="32"/>
          <w:szCs w:val="32"/>
          <w:highlight w:val="none"/>
          <w:lang w:val="en-US" w:eastAsia="zh-CN"/>
        </w:rPr>
        <w:t>2.9</w:t>
      </w:r>
      <w:r>
        <w:rPr>
          <w:rFonts w:ascii="仿宋_GB2312" w:hAnsi="仿宋" w:eastAsia="仿宋_GB2312" w:cs="宋体"/>
          <w:snapToGrid w:val="0"/>
          <w:kern w:val="0"/>
          <w:sz w:val="32"/>
          <w:szCs w:val="32"/>
          <w:highlight w:val="none"/>
        </w:rPr>
        <w:t>%</w:t>
      </w:r>
      <w:r>
        <w:rPr>
          <w:rFonts w:hint="eastAsia" w:ascii="仿宋_GB2312" w:hAnsi="仿宋" w:eastAsia="仿宋_GB2312" w:cs="宋体"/>
          <w:snapToGrid w:val="0"/>
          <w:kern w:val="0"/>
          <w:sz w:val="32"/>
          <w:szCs w:val="32"/>
          <w:highlight w:val="none"/>
        </w:rPr>
        <w:t>；文化旅游体育与传媒支出</w:t>
      </w:r>
      <w:r>
        <w:rPr>
          <w:rFonts w:hint="eastAsia" w:ascii="仿宋_GB2312" w:hAnsi="仿宋" w:eastAsia="仿宋_GB2312" w:cs="宋体"/>
          <w:snapToGrid w:val="0"/>
          <w:kern w:val="0"/>
          <w:sz w:val="32"/>
          <w:szCs w:val="32"/>
          <w:highlight w:val="none"/>
          <w:lang w:val="en-US" w:eastAsia="zh-CN"/>
        </w:rPr>
        <w:t>6795</w:t>
      </w:r>
      <w:r>
        <w:rPr>
          <w:rFonts w:hint="eastAsia" w:ascii="仿宋_GB2312" w:hAnsi="仿宋" w:eastAsia="仿宋_GB2312" w:cs="宋体"/>
          <w:snapToGrid w:val="0"/>
          <w:kern w:val="0"/>
          <w:sz w:val="32"/>
          <w:szCs w:val="32"/>
          <w:highlight w:val="none"/>
        </w:rPr>
        <w:t>万元，增长</w:t>
      </w:r>
      <w:r>
        <w:rPr>
          <w:rFonts w:hint="eastAsia" w:ascii="仿宋_GB2312" w:hAnsi="仿宋" w:eastAsia="仿宋_GB2312" w:cs="宋体"/>
          <w:snapToGrid w:val="0"/>
          <w:kern w:val="0"/>
          <w:sz w:val="32"/>
          <w:szCs w:val="32"/>
          <w:highlight w:val="none"/>
          <w:lang w:val="en-US" w:eastAsia="zh-CN"/>
        </w:rPr>
        <w:t>3</w:t>
      </w:r>
      <w:r>
        <w:rPr>
          <w:rFonts w:ascii="仿宋_GB2312" w:hAnsi="仿宋" w:eastAsia="仿宋_GB2312" w:cs="宋体"/>
          <w:snapToGrid w:val="0"/>
          <w:kern w:val="0"/>
          <w:sz w:val="32"/>
          <w:szCs w:val="32"/>
          <w:highlight w:val="none"/>
        </w:rPr>
        <w:t>%</w:t>
      </w:r>
      <w:r>
        <w:rPr>
          <w:rFonts w:hint="eastAsia" w:ascii="仿宋_GB2312" w:hAnsi="仿宋" w:eastAsia="仿宋_GB2312" w:cs="宋体"/>
          <w:snapToGrid w:val="0"/>
          <w:kern w:val="0"/>
          <w:sz w:val="32"/>
          <w:szCs w:val="32"/>
          <w:highlight w:val="none"/>
        </w:rPr>
        <w:t>；社会保障和就业支出</w:t>
      </w:r>
      <w:r>
        <w:rPr>
          <w:rFonts w:hint="eastAsia" w:ascii="仿宋_GB2312" w:hAnsi="仿宋" w:eastAsia="仿宋_GB2312" w:cs="宋体"/>
          <w:snapToGrid w:val="0"/>
          <w:kern w:val="0"/>
          <w:sz w:val="32"/>
          <w:szCs w:val="32"/>
          <w:highlight w:val="none"/>
          <w:lang w:val="en-US" w:eastAsia="zh-CN"/>
        </w:rPr>
        <w:t>58575</w:t>
      </w:r>
      <w:r>
        <w:rPr>
          <w:rFonts w:hint="eastAsia" w:ascii="仿宋_GB2312" w:hAnsi="仿宋" w:eastAsia="仿宋_GB2312" w:cs="宋体"/>
          <w:snapToGrid w:val="0"/>
          <w:kern w:val="0"/>
          <w:sz w:val="32"/>
          <w:szCs w:val="32"/>
          <w:highlight w:val="none"/>
        </w:rPr>
        <w:t>万元，增长</w:t>
      </w:r>
      <w:r>
        <w:rPr>
          <w:rFonts w:hint="eastAsia" w:ascii="仿宋_GB2312" w:hAnsi="仿宋" w:eastAsia="仿宋_GB2312" w:cs="宋体"/>
          <w:snapToGrid w:val="0"/>
          <w:kern w:val="0"/>
          <w:sz w:val="32"/>
          <w:szCs w:val="32"/>
          <w:highlight w:val="none"/>
          <w:lang w:val="en-US" w:eastAsia="zh-CN"/>
        </w:rPr>
        <w:t>3</w:t>
      </w:r>
      <w:r>
        <w:rPr>
          <w:rFonts w:ascii="仿宋_GB2312" w:hAnsi="仿宋" w:eastAsia="仿宋_GB2312" w:cs="宋体"/>
          <w:snapToGrid w:val="0"/>
          <w:kern w:val="0"/>
          <w:sz w:val="32"/>
          <w:szCs w:val="32"/>
          <w:highlight w:val="none"/>
        </w:rPr>
        <w:t>%</w:t>
      </w:r>
      <w:r>
        <w:rPr>
          <w:rFonts w:hint="eastAsia" w:ascii="仿宋_GB2312" w:hAnsi="仿宋" w:eastAsia="仿宋_GB2312" w:cs="宋体"/>
          <w:snapToGrid w:val="0"/>
          <w:kern w:val="0"/>
          <w:sz w:val="32"/>
          <w:szCs w:val="32"/>
          <w:highlight w:val="none"/>
        </w:rPr>
        <w:t>；卫生健康支出</w:t>
      </w:r>
      <w:r>
        <w:rPr>
          <w:rFonts w:hint="eastAsia" w:ascii="仿宋_GB2312" w:hAnsi="仿宋" w:eastAsia="仿宋_GB2312" w:cs="宋体"/>
          <w:snapToGrid w:val="0"/>
          <w:kern w:val="0"/>
          <w:sz w:val="32"/>
          <w:szCs w:val="32"/>
          <w:highlight w:val="none"/>
          <w:lang w:val="en-US" w:eastAsia="zh-CN"/>
        </w:rPr>
        <w:t>41462</w:t>
      </w:r>
      <w:r>
        <w:rPr>
          <w:rFonts w:hint="eastAsia" w:ascii="仿宋_GB2312" w:hAnsi="仿宋" w:eastAsia="仿宋_GB2312" w:cs="宋体"/>
          <w:snapToGrid w:val="0"/>
          <w:kern w:val="0"/>
          <w:sz w:val="32"/>
          <w:szCs w:val="32"/>
          <w:highlight w:val="none"/>
        </w:rPr>
        <w:t>万元，增长</w:t>
      </w:r>
      <w:r>
        <w:rPr>
          <w:rFonts w:hint="eastAsia" w:ascii="仿宋_GB2312" w:hAnsi="仿宋" w:eastAsia="仿宋_GB2312" w:cs="宋体"/>
          <w:snapToGrid w:val="0"/>
          <w:kern w:val="0"/>
          <w:sz w:val="32"/>
          <w:szCs w:val="32"/>
          <w:highlight w:val="none"/>
          <w:lang w:val="en-US" w:eastAsia="zh-CN"/>
        </w:rPr>
        <w:t>3</w:t>
      </w:r>
      <w:r>
        <w:rPr>
          <w:rFonts w:ascii="仿宋_GB2312" w:hAnsi="仿宋" w:eastAsia="仿宋_GB2312" w:cs="宋体"/>
          <w:snapToGrid w:val="0"/>
          <w:kern w:val="0"/>
          <w:sz w:val="32"/>
          <w:szCs w:val="32"/>
          <w:highlight w:val="none"/>
        </w:rPr>
        <w:t>%</w:t>
      </w:r>
      <w:r>
        <w:rPr>
          <w:rFonts w:hint="eastAsia" w:ascii="仿宋_GB2312" w:hAnsi="仿宋" w:eastAsia="仿宋_GB2312" w:cs="宋体"/>
          <w:snapToGrid w:val="0"/>
          <w:kern w:val="0"/>
          <w:sz w:val="32"/>
          <w:szCs w:val="32"/>
          <w:highlight w:val="none"/>
        </w:rPr>
        <w:t>；节能环保支出10</w:t>
      </w:r>
      <w:r>
        <w:rPr>
          <w:rFonts w:hint="eastAsia" w:ascii="仿宋_GB2312" w:hAnsi="仿宋" w:eastAsia="仿宋_GB2312" w:cs="宋体"/>
          <w:snapToGrid w:val="0"/>
          <w:kern w:val="0"/>
          <w:sz w:val="32"/>
          <w:szCs w:val="32"/>
          <w:highlight w:val="none"/>
          <w:lang w:val="en-US" w:eastAsia="zh-CN"/>
        </w:rPr>
        <w:t>565</w:t>
      </w:r>
      <w:r>
        <w:rPr>
          <w:rFonts w:hint="eastAsia" w:ascii="仿宋_GB2312" w:hAnsi="仿宋" w:eastAsia="仿宋_GB2312" w:cs="宋体"/>
          <w:snapToGrid w:val="0"/>
          <w:kern w:val="0"/>
          <w:sz w:val="32"/>
          <w:szCs w:val="32"/>
          <w:highlight w:val="none"/>
        </w:rPr>
        <w:t>万元，增长</w:t>
      </w:r>
      <w:r>
        <w:rPr>
          <w:rFonts w:hint="eastAsia" w:ascii="仿宋_GB2312" w:hAnsi="仿宋" w:eastAsia="仿宋_GB2312" w:cs="宋体"/>
          <w:snapToGrid w:val="0"/>
          <w:kern w:val="0"/>
          <w:sz w:val="32"/>
          <w:szCs w:val="32"/>
          <w:highlight w:val="none"/>
          <w:lang w:val="en-US" w:eastAsia="zh-CN"/>
        </w:rPr>
        <w:t>5</w:t>
      </w:r>
      <w:r>
        <w:rPr>
          <w:rFonts w:ascii="仿宋_GB2312" w:hAnsi="仿宋" w:eastAsia="仿宋_GB2312" w:cs="宋体"/>
          <w:snapToGrid w:val="0"/>
          <w:kern w:val="0"/>
          <w:sz w:val="32"/>
          <w:szCs w:val="32"/>
          <w:highlight w:val="none"/>
        </w:rPr>
        <w:t>%</w:t>
      </w:r>
      <w:r>
        <w:rPr>
          <w:rFonts w:hint="eastAsia" w:ascii="仿宋_GB2312" w:hAnsi="仿宋" w:eastAsia="仿宋_GB2312" w:cs="宋体"/>
          <w:snapToGrid w:val="0"/>
          <w:kern w:val="0"/>
          <w:sz w:val="32"/>
          <w:szCs w:val="32"/>
          <w:highlight w:val="none"/>
        </w:rPr>
        <w:t>；城乡社区支出</w:t>
      </w:r>
      <w:r>
        <w:rPr>
          <w:rFonts w:hint="eastAsia" w:ascii="仿宋_GB2312" w:hAnsi="仿宋" w:eastAsia="仿宋_GB2312" w:cs="宋体"/>
          <w:snapToGrid w:val="0"/>
          <w:kern w:val="0"/>
          <w:sz w:val="32"/>
          <w:szCs w:val="32"/>
          <w:highlight w:val="none"/>
          <w:lang w:val="en-US" w:eastAsia="zh-CN"/>
        </w:rPr>
        <w:t>3770</w:t>
      </w:r>
      <w:r>
        <w:rPr>
          <w:rFonts w:hint="eastAsia" w:ascii="仿宋_GB2312" w:hAnsi="仿宋" w:eastAsia="仿宋_GB2312" w:cs="宋体"/>
          <w:snapToGrid w:val="0"/>
          <w:kern w:val="0"/>
          <w:sz w:val="32"/>
          <w:szCs w:val="32"/>
          <w:highlight w:val="none"/>
        </w:rPr>
        <w:t>万元，与上年持平；农林水支出</w:t>
      </w:r>
      <w:r>
        <w:rPr>
          <w:rFonts w:hint="eastAsia" w:ascii="仿宋_GB2312" w:hAnsi="仿宋" w:eastAsia="仿宋_GB2312" w:cs="宋体"/>
          <w:snapToGrid w:val="0"/>
          <w:kern w:val="0"/>
          <w:sz w:val="32"/>
          <w:szCs w:val="32"/>
          <w:highlight w:val="none"/>
          <w:lang w:val="en-US" w:eastAsia="zh-CN"/>
        </w:rPr>
        <w:t>58021</w:t>
      </w:r>
      <w:r>
        <w:rPr>
          <w:rFonts w:hint="eastAsia" w:ascii="仿宋_GB2312" w:hAnsi="仿宋" w:eastAsia="仿宋_GB2312" w:cs="宋体"/>
          <w:snapToGrid w:val="0"/>
          <w:kern w:val="0"/>
          <w:sz w:val="32"/>
          <w:szCs w:val="32"/>
          <w:highlight w:val="none"/>
        </w:rPr>
        <w:t>万元，增长</w:t>
      </w:r>
      <w:r>
        <w:rPr>
          <w:rFonts w:hint="eastAsia" w:ascii="仿宋_GB2312" w:hAnsi="仿宋" w:eastAsia="仿宋_GB2312" w:cs="宋体"/>
          <w:snapToGrid w:val="0"/>
          <w:kern w:val="0"/>
          <w:sz w:val="32"/>
          <w:szCs w:val="32"/>
          <w:highlight w:val="none"/>
          <w:lang w:val="en-US" w:eastAsia="zh-CN"/>
        </w:rPr>
        <w:t>3.3</w:t>
      </w:r>
      <w:r>
        <w:rPr>
          <w:rFonts w:ascii="仿宋_GB2312" w:hAnsi="仿宋" w:eastAsia="仿宋_GB2312" w:cs="宋体"/>
          <w:snapToGrid w:val="0"/>
          <w:kern w:val="0"/>
          <w:sz w:val="32"/>
          <w:szCs w:val="32"/>
          <w:highlight w:val="none"/>
        </w:rPr>
        <w:t>%</w:t>
      </w:r>
      <w:r>
        <w:rPr>
          <w:rFonts w:hint="eastAsia" w:ascii="仿宋_GB2312" w:hAnsi="仿宋" w:eastAsia="仿宋_GB2312" w:cs="宋体"/>
          <w:snapToGrid w:val="0"/>
          <w:kern w:val="0"/>
          <w:sz w:val="32"/>
          <w:szCs w:val="32"/>
          <w:highlight w:val="none"/>
        </w:rPr>
        <w:t>；交通运输支出35</w:t>
      </w:r>
      <w:r>
        <w:rPr>
          <w:rFonts w:hint="eastAsia" w:ascii="仿宋_GB2312" w:hAnsi="仿宋" w:eastAsia="仿宋_GB2312" w:cs="宋体"/>
          <w:snapToGrid w:val="0"/>
          <w:kern w:val="0"/>
          <w:sz w:val="32"/>
          <w:szCs w:val="32"/>
          <w:highlight w:val="none"/>
          <w:lang w:val="en-US" w:eastAsia="zh-CN"/>
        </w:rPr>
        <w:t>23</w:t>
      </w:r>
      <w:r>
        <w:rPr>
          <w:rFonts w:hint="eastAsia" w:ascii="仿宋_GB2312" w:hAnsi="仿宋" w:eastAsia="仿宋_GB2312" w:cs="宋体"/>
          <w:snapToGrid w:val="0"/>
          <w:kern w:val="0"/>
          <w:sz w:val="32"/>
          <w:szCs w:val="32"/>
          <w:highlight w:val="none"/>
        </w:rPr>
        <w:t>万元，与上年持平；资源勘探工业信息等支出</w:t>
      </w:r>
      <w:r>
        <w:rPr>
          <w:rFonts w:ascii="仿宋_GB2312" w:hAnsi="仿宋" w:eastAsia="仿宋_GB2312" w:cs="宋体"/>
          <w:snapToGrid w:val="0"/>
          <w:kern w:val="0"/>
          <w:sz w:val="32"/>
          <w:szCs w:val="32"/>
          <w:highlight w:val="none"/>
        </w:rPr>
        <w:t>13</w:t>
      </w:r>
      <w:r>
        <w:rPr>
          <w:rFonts w:hint="eastAsia" w:ascii="仿宋_GB2312" w:hAnsi="仿宋" w:eastAsia="仿宋_GB2312" w:cs="宋体"/>
          <w:snapToGrid w:val="0"/>
          <w:kern w:val="0"/>
          <w:sz w:val="32"/>
          <w:szCs w:val="32"/>
          <w:highlight w:val="none"/>
          <w:lang w:val="en-US" w:eastAsia="zh-CN"/>
        </w:rPr>
        <w:t>36</w:t>
      </w:r>
      <w:r>
        <w:rPr>
          <w:rFonts w:hint="eastAsia" w:ascii="仿宋_GB2312" w:hAnsi="仿宋" w:eastAsia="仿宋_GB2312" w:cs="宋体"/>
          <w:snapToGrid w:val="0"/>
          <w:kern w:val="0"/>
          <w:sz w:val="32"/>
          <w:szCs w:val="32"/>
          <w:highlight w:val="none"/>
        </w:rPr>
        <w:t>万元，与上年持平；商业服务业等支出</w:t>
      </w:r>
      <w:r>
        <w:rPr>
          <w:rFonts w:ascii="仿宋_GB2312" w:hAnsi="仿宋" w:eastAsia="仿宋_GB2312" w:cs="宋体"/>
          <w:snapToGrid w:val="0"/>
          <w:kern w:val="0"/>
          <w:sz w:val="32"/>
          <w:szCs w:val="32"/>
          <w:highlight w:val="none"/>
        </w:rPr>
        <w:t>1099</w:t>
      </w:r>
      <w:r>
        <w:rPr>
          <w:rFonts w:hint="eastAsia" w:ascii="仿宋_GB2312" w:hAnsi="仿宋" w:eastAsia="仿宋_GB2312" w:cs="宋体"/>
          <w:snapToGrid w:val="0"/>
          <w:kern w:val="0"/>
          <w:sz w:val="32"/>
          <w:szCs w:val="32"/>
          <w:highlight w:val="none"/>
        </w:rPr>
        <w:t>万元，与上年持平；自然资源海洋气象等支出374万元，与上年持平；住房保障支出2753万元，与上年持平；粮油物资储备支出</w:t>
      </w:r>
      <w:r>
        <w:rPr>
          <w:rFonts w:ascii="仿宋_GB2312" w:hAnsi="仿宋" w:eastAsia="仿宋_GB2312" w:cs="宋体"/>
          <w:snapToGrid w:val="0"/>
          <w:kern w:val="0"/>
          <w:sz w:val="32"/>
          <w:szCs w:val="32"/>
          <w:highlight w:val="none"/>
        </w:rPr>
        <w:t>42</w:t>
      </w:r>
      <w:r>
        <w:rPr>
          <w:rFonts w:hint="eastAsia" w:ascii="仿宋_GB2312" w:hAnsi="仿宋" w:eastAsia="仿宋_GB2312" w:cs="宋体"/>
          <w:snapToGrid w:val="0"/>
          <w:kern w:val="0"/>
          <w:sz w:val="32"/>
          <w:szCs w:val="32"/>
          <w:highlight w:val="none"/>
        </w:rPr>
        <w:t>万元，与上年持平；债务付息支出</w:t>
      </w:r>
      <w:r>
        <w:rPr>
          <w:rFonts w:hint="eastAsia" w:ascii="仿宋_GB2312" w:hAnsi="仿宋" w:eastAsia="仿宋_GB2312" w:cs="宋体"/>
          <w:snapToGrid w:val="0"/>
          <w:kern w:val="0"/>
          <w:sz w:val="32"/>
          <w:szCs w:val="32"/>
          <w:highlight w:val="none"/>
          <w:lang w:val="en-US" w:eastAsia="zh-CN"/>
        </w:rPr>
        <w:t>4712</w:t>
      </w:r>
      <w:r>
        <w:rPr>
          <w:rFonts w:hint="eastAsia" w:ascii="仿宋_GB2312" w:hAnsi="仿宋" w:eastAsia="仿宋_GB2312" w:cs="宋体"/>
          <w:snapToGrid w:val="0"/>
          <w:kern w:val="0"/>
          <w:sz w:val="32"/>
          <w:szCs w:val="32"/>
          <w:highlight w:val="none"/>
        </w:rPr>
        <w:t>万元；预备费3</w:t>
      </w:r>
      <w:r>
        <w:rPr>
          <w:rFonts w:hint="eastAsia" w:ascii="仿宋_GB2312" w:hAnsi="仿宋" w:eastAsia="仿宋_GB2312" w:cs="宋体"/>
          <w:snapToGrid w:val="0"/>
          <w:kern w:val="0"/>
          <w:sz w:val="32"/>
          <w:szCs w:val="32"/>
          <w:highlight w:val="none"/>
          <w:lang w:val="en-US" w:eastAsia="zh-CN"/>
        </w:rPr>
        <w:t>300</w:t>
      </w:r>
      <w:r>
        <w:rPr>
          <w:rFonts w:hint="eastAsia" w:ascii="仿宋_GB2312" w:hAnsi="仿宋" w:eastAsia="仿宋_GB2312" w:cs="宋体"/>
          <w:snapToGrid w:val="0"/>
          <w:kern w:val="0"/>
          <w:sz w:val="32"/>
          <w:szCs w:val="32"/>
          <w:highlight w:val="none"/>
        </w:rPr>
        <w:t>万元；灾害防治及应急管理支出1</w:t>
      </w:r>
      <w:r>
        <w:rPr>
          <w:rFonts w:hint="eastAsia" w:ascii="仿宋_GB2312" w:hAnsi="仿宋" w:eastAsia="仿宋_GB2312" w:cs="宋体"/>
          <w:snapToGrid w:val="0"/>
          <w:kern w:val="0"/>
          <w:sz w:val="32"/>
          <w:szCs w:val="32"/>
          <w:highlight w:val="none"/>
          <w:lang w:val="en-US" w:eastAsia="zh-CN"/>
        </w:rPr>
        <w:t>45</w:t>
      </w:r>
      <w:r>
        <w:rPr>
          <w:rFonts w:hint="eastAsia" w:ascii="仿宋_GB2312" w:hAnsi="仿宋" w:eastAsia="仿宋_GB2312" w:cs="宋体"/>
          <w:snapToGrid w:val="0"/>
          <w:kern w:val="0"/>
          <w:sz w:val="32"/>
          <w:szCs w:val="32"/>
          <w:highlight w:val="none"/>
        </w:rPr>
        <w:t>6万元</w:t>
      </w:r>
      <w:r>
        <w:rPr>
          <w:rFonts w:hint="eastAsia" w:ascii="仿宋_GB2312" w:hAnsi="仿宋" w:eastAsia="仿宋_GB2312"/>
          <w:bCs/>
          <w:sz w:val="32"/>
          <w:szCs w:val="32"/>
          <w:highlight w:val="none"/>
          <w:lang w:eastAsia="zh-CN"/>
        </w:rPr>
        <w:t>（</w:t>
      </w:r>
      <w:r>
        <w:rPr>
          <w:rFonts w:hint="eastAsia" w:ascii="仿宋_GB2312" w:hAnsi="仿宋" w:eastAsia="仿宋_GB2312"/>
          <w:bCs/>
          <w:sz w:val="32"/>
          <w:szCs w:val="32"/>
          <w:highlight w:val="none"/>
          <w:lang w:val="en-US" w:eastAsia="zh-CN"/>
        </w:rPr>
        <w:t>详见附表七</w:t>
      </w:r>
      <w:r>
        <w:rPr>
          <w:rFonts w:hint="eastAsia" w:ascii="仿宋_GB2312" w:hAnsi="仿宋" w:eastAsia="仿宋_GB2312"/>
          <w:bCs/>
          <w:sz w:val="32"/>
          <w:szCs w:val="32"/>
          <w:highlight w:val="none"/>
          <w:lang w:eastAsia="zh-CN"/>
        </w:rPr>
        <w:t>）</w:t>
      </w:r>
      <w:r>
        <w:rPr>
          <w:rFonts w:hint="eastAsia" w:ascii="仿宋_GB2312" w:hAnsi="仿宋" w:eastAsia="仿宋_GB2312" w:cs="宋体"/>
          <w:snapToGrid w:val="0"/>
          <w:kern w:val="0"/>
          <w:sz w:val="32"/>
          <w:szCs w:val="32"/>
          <w:highlight w:val="none"/>
        </w:rPr>
        <w:t>。</w:t>
      </w:r>
    </w:p>
    <w:p w14:paraId="7C7479C8">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3" w:firstLineChars="200"/>
        <w:textAlignment w:val="auto"/>
        <w:rPr>
          <w:rFonts w:ascii="仿宋_GB2312" w:hAnsi="仿宋" w:eastAsia="仿宋_GB2312" w:cs="宋体"/>
          <w:b/>
          <w:snapToGrid w:val="0"/>
          <w:kern w:val="0"/>
          <w:sz w:val="32"/>
          <w:szCs w:val="32"/>
          <w:highlight w:val="none"/>
        </w:rPr>
      </w:pPr>
      <w:r>
        <w:rPr>
          <w:rFonts w:ascii="仿宋_GB2312" w:hAnsi="仿宋" w:eastAsia="仿宋_GB2312" w:cs="宋体"/>
          <w:b/>
          <w:snapToGrid w:val="0"/>
          <w:kern w:val="0"/>
          <w:sz w:val="32"/>
          <w:szCs w:val="32"/>
          <w:highlight w:val="none"/>
        </w:rPr>
        <w:t>2.</w:t>
      </w:r>
      <w:r>
        <w:rPr>
          <w:rFonts w:hint="eastAsia" w:ascii="仿宋_GB2312" w:hAnsi="仿宋" w:eastAsia="仿宋_GB2312" w:cs="宋体"/>
          <w:b/>
          <w:snapToGrid w:val="0"/>
          <w:kern w:val="0"/>
          <w:sz w:val="32"/>
          <w:szCs w:val="32"/>
          <w:highlight w:val="none"/>
        </w:rPr>
        <w:t>政府性基金预算</w:t>
      </w:r>
    </w:p>
    <w:p w14:paraId="04019AEC">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0" w:firstLineChars="200"/>
        <w:textAlignment w:val="auto"/>
        <w:rPr>
          <w:rFonts w:hint="eastAsia" w:ascii="仿宋_GB2312" w:hAnsi="宋体" w:eastAsia="仿宋_GB2312" w:cs="宋体"/>
          <w:b/>
          <w:color w:val="auto"/>
          <w:kern w:val="0"/>
          <w:sz w:val="32"/>
          <w:szCs w:val="32"/>
          <w:highlight w:val="none"/>
          <w:lang w:eastAsia="zh-CN"/>
        </w:rPr>
      </w:pPr>
      <w:r>
        <w:rPr>
          <w:rFonts w:ascii="仿宋_GB2312" w:hAnsi="宋体" w:eastAsia="仿宋_GB2312" w:cs="宋体"/>
          <w:color w:val="auto"/>
          <w:kern w:val="0"/>
          <w:sz w:val="32"/>
          <w:szCs w:val="32"/>
          <w:highlight w:val="none"/>
        </w:rPr>
        <w:t>202</w:t>
      </w:r>
      <w:r>
        <w:rPr>
          <w:rFonts w:hint="eastAsia" w:ascii="仿宋_GB2312" w:hAnsi="宋体" w:eastAsia="仿宋_GB2312" w:cs="宋体"/>
          <w:color w:val="auto"/>
          <w:kern w:val="0"/>
          <w:sz w:val="32"/>
          <w:szCs w:val="32"/>
          <w:highlight w:val="none"/>
          <w:lang w:val="en-US" w:eastAsia="zh-CN"/>
        </w:rPr>
        <w:t>6</w:t>
      </w:r>
      <w:r>
        <w:rPr>
          <w:rFonts w:hint="eastAsia" w:ascii="仿宋_GB2312" w:hAnsi="宋体" w:eastAsia="仿宋_GB2312" w:cs="宋体"/>
          <w:color w:val="auto"/>
          <w:kern w:val="0"/>
          <w:sz w:val="32"/>
          <w:szCs w:val="32"/>
          <w:highlight w:val="none"/>
        </w:rPr>
        <w:t>年全县政府性基金预算收入安排</w:t>
      </w:r>
      <w:r>
        <w:rPr>
          <w:rFonts w:hint="eastAsia" w:ascii="仿宋_GB2312" w:hAnsi="宋体" w:eastAsia="仿宋_GB2312" w:cs="宋体"/>
          <w:color w:val="auto"/>
          <w:kern w:val="0"/>
          <w:sz w:val="32"/>
          <w:szCs w:val="32"/>
          <w:highlight w:val="none"/>
          <w:lang w:val="en-US" w:eastAsia="zh-CN"/>
        </w:rPr>
        <w:t>42</w:t>
      </w:r>
      <w:r>
        <w:rPr>
          <w:rFonts w:hint="eastAsia" w:ascii="仿宋_GB2312" w:hAnsi="宋体" w:eastAsia="仿宋_GB2312" w:cs="宋体"/>
          <w:color w:val="auto"/>
          <w:kern w:val="0"/>
          <w:sz w:val="32"/>
          <w:szCs w:val="32"/>
          <w:highlight w:val="none"/>
        </w:rPr>
        <w:t>000万元。其中：国有土地使用权出让收入</w:t>
      </w:r>
      <w:r>
        <w:rPr>
          <w:rFonts w:hint="eastAsia" w:ascii="仿宋_GB2312" w:hAnsi="宋体" w:eastAsia="仿宋_GB2312" w:cs="宋体"/>
          <w:color w:val="auto"/>
          <w:kern w:val="0"/>
          <w:sz w:val="32"/>
          <w:szCs w:val="32"/>
          <w:highlight w:val="none"/>
          <w:lang w:val="en-US" w:eastAsia="zh-CN"/>
        </w:rPr>
        <w:t>40850</w:t>
      </w:r>
      <w:r>
        <w:rPr>
          <w:rFonts w:hint="eastAsia" w:ascii="仿宋_GB2312" w:hAnsi="宋体" w:eastAsia="仿宋_GB2312" w:cs="宋体"/>
          <w:color w:val="auto"/>
          <w:kern w:val="0"/>
          <w:sz w:val="32"/>
          <w:szCs w:val="32"/>
          <w:highlight w:val="none"/>
        </w:rPr>
        <w:t>万元，增长</w:t>
      </w:r>
      <w:r>
        <w:rPr>
          <w:rFonts w:hint="eastAsia" w:ascii="仿宋_GB2312" w:hAnsi="宋体" w:eastAsia="仿宋_GB2312" w:cs="宋体"/>
          <w:color w:val="auto"/>
          <w:kern w:val="0"/>
          <w:sz w:val="32"/>
          <w:szCs w:val="32"/>
          <w:highlight w:val="none"/>
          <w:lang w:val="en-US" w:eastAsia="zh-CN"/>
        </w:rPr>
        <w:t>227</w:t>
      </w:r>
      <w:r>
        <w:rPr>
          <w:rFonts w:ascii="仿宋_GB2312" w:hAnsi="宋体" w:eastAsia="仿宋_GB2312" w:cs="宋体"/>
          <w:color w:val="auto"/>
          <w:kern w:val="0"/>
          <w:sz w:val="32"/>
          <w:szCs w:val="32"/>
          <w:highlight w:val="none"/>
        </w:rPr>
        <w:t>%</w:t>
      </w:r>
      <w:r>
        <w:rPr>
          <w:rFonts w:hint="eastAsia" w:ascii="仿宋_GB2312" w:hAnsi="宋体" w:eastAsia="仿宋_GB2312" w:cs="宋体"/>
          <w:color w:val="auto"/>
          <w:kern w:val="0"/>
          <w:sz w:val="32"/>
          <w:szCs w:val="32"/>
          <w:highlight w:val="none"/>
        </w:rPr>
        <w:t>；国有土地收益基金收入</w:t>
      </w:r>
      <w:r>
        <w:rPr>
          <w:rFonts w:hint="eastAsia" w:ascii="仿宋_GB2312" w:hAnsi="宋体" w:eastAsia="仿宋_GB2312" w:cs="宋体"/>
          <w:color w:val="auto"/>
          <w:kern w:val="0"/>
          <w:sz w:val="32"/>
          <w:szCs w:val="32"/>
          <w:highlight w:val="none"/>
          <w:lang w:val="en-US" w:eastAsia="zh-CN"/>
        </w:rPr>
        <w:t>400</w:t>
      </w:r>
      <w:r>
        <w:rPr>
          <w:rFonts w:hint="eastAsia" w:ascii="仿宋_GB2312" w:hAnsi="宋体" w:eastAsia="仿宋_GB2312" w:cs="宋体"/>
          <w:color w:val="auto"/>
          <w:kern w:val="0"/>
          <w:sz w:val="32"/>
          <w:szCs w:val="32"/>
          <w:highlight w:val="none"/>
        </w:rPr>
        <w:t>万元，增长</w:t>
      </w:r>
      <w:r>
        <w:rPr>
          <w:rFonts w:hint="eastAsia" w:ascii="仿宋_GB2312" w:hAnsi="宋体" w:eastAsia="仿宋_GB2312" w:cs="宋体"/>
          <w:color w:val="auto"/>
          <w:kern w:val="0"/>
          <w:sz w:val="32"/>
          <w:szCs w:val="32"/>
          <w:highlight w:val="none"/>
          <w:lang w:val="en-US" w:eastAsia="zh-CN"/>
        </w:rPr>
        <w:t>13</w:t>
      </w:r>
      <w:r>
        <w:rPr>
          <w:rFonts w:ascii="仿宋_GB2312" w:hAnsi="宋体" w:eastAsia="仿宋_GB2312" w:cs="宋体"/>
          <w:color w:val="auto"/>
          <w:kern w:val="0"/>
          <w:sz w:val="32"/>
          <w:szCs w:val="32"/>
          <w:highlight w:val="none"/>
        </w:rPr>
        <w:t>%</w:t>
      </w:r>
      <w:r>
        <w:rPr>
          <w:rFonts w:hint="eastAsia" w:ascii="仿宋_GB2312" w:hAnsi="宋体" w:eastAsia="仿宋_GB2312" w:cs="宋体"/>
          <w:color w:val="auto"/>
          <w:kern w:val="0"/>
          <w:sz w:val="32"/>
          <w:szCs w:val="32"/>
          <w:highlight w:val="none"/>
        </w:rPr>
        <w:t>；农业土地开发资金收入</w:t>
      </w:r>
      <w:r>
        <w:rPr>
          <w:rFonts w:hint="eastAsia" w:ascii="仿宋_GB2312" w:hAnsi="宋体" w:eastAsia="仿宋_GB2312" w:cs="宋体"/>
          <w:color w:val="auto"/>
          <w:kern w:val="0"/>
          <w:sz w:val="32"/>
          <w:szCs w:val="32"/>
          <w:highlight w:val="none"/>
          <w:lang w:val="en-US" w:eastAsia="zh-CN"/>
        </w:rPr>
        <w:t>150</w:t>
      </w:r>
      <w:r>
        <w:rPr>
          <w:rFonts w:hint="eastAsia" w:ascii="仿宋_GB2312" w:hAnsi="宋体" w:eastAsia="仿宋_GB2312" w:cs="宋体"/>
          <w:color w:val="auto"/>
          <w:kern w:val="0"/>
          <w:sz w:val="32"/>
          <w:szCs w:val="32"/>
          <w:highlight w:val="none"/>
        </w:rPr>
        <w:t>万元，增长</w:t>
      </w:r>
      <w:r>
        <w:rPr>
          <w:rFonts w:hint="eastAsia" w:ascii="仿宋_GB2312" w:hAnsi="宋体" w:eastAsia="仿宋_GB2312" w:cs="宋体"/>
          <w:color w:val="auto"/>
          <w:kern w:val="0"/>
          <w:sz w:val="32"/>
          <w:szCs w:val="32"/>
          <w:highlight w:val="none"/>
          <w:lang w:val="en-US" w:eastAsia="zh-CN"/>
        </w:rPr>
        <w:t>67</w:t>
      </w:r>
      <w:r>
        <w:rPr>
          <w:rFonts w:ascii="仿宋_GB2312" w:hAnsi="宋体" w:eastAsia="仿宋_GB2312" w:cs="宋体"/>
          <w:color w:val="auto"/>
          <w:kern w:val="0"/>
          <w:sz w:val="32"/>
          <w:szCs w:val="32"/>
          <w:highlight w:val="none"/>
        </w:rPr>
        <w:t>%</w:t>
      </w:r>
      <w:r>
        <w:rPr>
          <w:rFonts w:hint="eastAsia" w:ascii="仿宋_GB2312" w:hAnsi="宋体" w:eastAsia="仿宋_GB2312" w:cs="宋体"/>
          <w:color w:val="auto"/>
          <w:kern w:val="0"/>
          <w:sz w:val="32"/>
          <w:szCs w:val="32"/>
          <w:highlight w:val="none"/>
        </w:rPr>
        <w:t>；污水处理费收入</w:t>
      </w:r>
      <w:r>
        <w:rPr>
          <w:rFonts w:hint="eastAsia" w:ascii="仿宋_GB2312" w:hAnsi="宋体" w:eastAsia="仿宋_GB2312" w:cs="宋体"/>
          <w:color w:val="auto"/>
          <w:kern w:val="0"/>
          <w:sz w:val="32"/>
          <w:szCs w:val="32"/>
          <w:highlight w:val="none"/>
          <w:lang w:val="en-US" w:eastAsia="zh-CN"/>
        </w:rPr>
        <w:t>600</w:t>
      </w:r>
      <w:r>
        <w:rPr>
          <w:rFonts w:hint="eastAsia" w:ascii="仿宋_GB2312" w:hAnsi="宋体" w:eastAsia="仿宋_GB2312" w:cs="宋体"/>
          <w:color w:val="auto"/>
          <w:kern w:val="0"/>
          <w:sz w:val="32"/>
          <w:szCs w:val="32"/>
          <w:highlight w:val="none"/>
        </w:rPr>
        <w:t>万元，增长</w:t>
      </w:r>
      <w:r>
        <w:rPr>
          <w:rFonts w:hint="eastAsia" w:ascii="仿宋_GB2312" w:hAnsi="宋体" w:eastAsia="仿宋_GB2312" w:cs="宋体"/>
          <w:color w:val="auto"/>
          <w:kern w:val="0"/>
          <w:sz w:val="32"/>
          <w:szCs w:val="32"/>
          <w:highlight w:val="none"/>
          <w:lang w:val="en-US" w:eastAsia="zh-CN"/>
        </w:rPr>
        <w:t>35</w:t>
      </w:r>
      <w:r>
        <w:rPr>
          <w:rFonts w:ascii="仿宋_GB2312" w:hAnsi="宋体" w:eastAsia="仿宋_GB2312" w:cs="宋体"/>
          <w:color w:val="auto"/>
          <w:kern w:val="0"/>
          <w:sz w:val="32"/>
          <w:szCs w:val="32"/>
          <w:highlight w:val="none"/>
        </w:rPr>
        <w:t>%</w:t>
      </w:r>
      <w:r>
        <w:rPr>
          <w:rFonts w:hint="eastAsia" w:ascii="仿宋_GB2312" w:hAnsi="宋体" w:eastAsia="仿宋_GB2312" w:cs="宋体"/>
          <w:color w:val="auto"/>
          <w:kern w:val="0"/>
          <w:sz w:val="32"/>
          <w:szCs w:val="32"/>
          <w:highlight w:val="none"/>
          <w:lang w:eastAsia="zh-CN"/>
        </w:rPr>
        <w:t>，</w:t>
      </w:r>
      <w:r>
        <w:rPr>
          <w:rFonts w:hint="eastAsia" w:ascii="仿宋_GB2312" w:hAnsi="宋体" w:eastAsia="仿宋_GB2312" w:cs="宋体"/>
          <w:color w:val="auto"/>
          <w:kern w:val="0"/>
          <w:sz w:val="32"/>
          <w:szCs w:val="32"/>
          <w:highlight w:val="none"/>
        </w:rPr>
        <w:t>加上上年结转</w:t>
      </w:r>
      <w:r>
        <w:rPr>
          <w:rFonts w:hint="eastAsia" w:ascii="仿宋_GB2312" w:hAnsi="宋体" w:eastAsia="仿宋_GB2312" w:cs="宋体"/>
          <w:color w:val="auto"/>
          <w:kern w:val="0"/>
          <w:sz w:val="32"/>
          <w:szCs w:val="32"/>
          <w:highlight w:val="none"/>
          <w:lang w:val="en-US" w:eastAsia="zh-CN"/>
        </w:rPr>
        <w:t>14421</w:t>
      </w:r>
      <w:r>
        <w:rPr>
          <w:rFonts w:hint="eastAsia" w:ascii="仿宋_GB2312" w:hAnsi="宋体" w:eastAsia="仿宋_GB2312" w:cs="宋体"/>
          <w:color w:val="auto"/>
          <w:kern w:val="0"/>
          <w:sz w:val="32"/>
          <w:szCs w:val="32"/>
          <w:highlight w:val="none"/>
        </w:rPr>
        <w:t>万元，</w:t>
      </w:r>
      <w:r>
        <w:rPr>
          <w:rFonts w:hint="eastAsia" w:ascii="仿宋_GB2312" w:hAnsi="宋体" w:eastAsia="仿宋_GB2312" w:cs="宋体"/>
          <w:color w:val="auto"/>
          <w:kern w:val="0"/>
          <w:sz w:val="32"/>
          <w:szCs w:val="32"/>
          <w:highlight w:val="none"/>
          <w:lang w:val="en-US" w:eastAsia="zh-CN"/>
        </w:rPr>
        <w:t>转移支付260万元，</w:t>
      </w:r>
      <w:r>
        <w:rPr>
          <w:rFonts w:hint="eastAsia" w:ascii="仿宋_GB2312" w:hAnsi="宋体" w:eastAsia="仿宋_GB2312" w:cs="宋体"/>
          <w:color w:val="auto"/>
          <w:kern w:val="0"/>
          <w:sz w:val="32"/>
          <w:szCs w:val="32"/>
          <w:highlight w:val="yellow"/>
          <w:lang w:val="en-US" w:eastAsia="zh-CN"/>
        </w:rPr>
        <w:t>专项债券收入15600万元（项目建设类专项债券14400万元，</w:t>
      </w:r>
      <w:r>
        <w:rPr>
          <w:rFonts w:hint="eastAsia" w:ascii="仿宋_GB2312" w:hAnsi="等线" w:eastAsia="仿宋_GB2312"/>
          <w:sz w:val="32"/>
          <w:szCs w:val="32"/>
          <w:highlight w:val="yellow"/>
        </w:rPr>
        <w:t>清偿拖欠企业账款专项债券</w:t>
      </w:r>
      <w:r>
        <w:rPr>
          <w:rFonts w:hint="eastAsia" w:ascii="仿宋_GB2312" w:eastAsia="仿宋_GB2312"/>
          <w:sz w:val="32"/>
          <w:szCs w:val="32"/>
          <w:highlight w:val="yellow"/>
          <w:lang w:val="en-US" w:eastAsia="zh-CN"/>
        </w:rPr>
        <w:t>1200万元</w:t>
      </w:r>
      <w:r>
        <w:rPr>
          <w:rFonts w:hint="eastAsia" w:ascii="仿宋_GB2312" w:hAnsi="宋体" w:eastAsia="仿宋_GB2312" w:cs="宋体"/>
          <w:color w:val="auto"/>
          <w:kern w:val="0"/>
          <w:sz w:val="32"/>
          <w:szCs w:val="32"/>
          <w:highlight w:val="yellow"/>
          <w:lang w:val="en-US" w:eastAsia="zh-CN"/>
        </w:rPr>
        <w:t>），</w:t>
      </w:r>
      <w:r>
        <w:rPr>
          <w:rFonts w:hint="eastAsia" w:ascii="仿宋_GB2312" w:hAnsi="宋体" w:eastAsia="仿宋_GB2312" w:cs="宋体"/>
          <w:color w:val="auto"/>
          <w:kern w:val="0"/>
          <w:sz w:val="32"/>
          <w:szCs w:val="32"/>
          <w:highlight w:val="none"/>
        </w:rPr>
        <w:t>减去调出资金</w:t>
      </w:r>
      <w:r>
        <w:rPr>
          <w:rFonts w:hint="eastAsia" w:ascii="仿宋_GB2312" w:hAnsi="宋体" w:eastAsia="仿宋_GB2312" w:cs="宋体"/>
          <w:color w:val="auto"/>
          <w:kern w:val="0"/>
          <w:sz w:val="32"/>
          <w:szCs w:val="32"/>
          <w:highlight w:val="none"/>
          <w:lang w:val="en-US" w:eastAsia="zh-CN"/>
        </w:rPr>
        <w:t>161</w:t>
      </w:r>
      <w:r>
        <w:rPr>
          <w:rFonts w:hint="eastAsia" w:ascii="仿宋_GB2312" w:hAnsi="宋体" w:eastAsia="仿宋_GB2312" w:cs="宋体"/>
          <w:color w:val="auto"/>
          <w:kern w:val="0"/>
          <w:sz w:val="32"/>
          <w:szCs w:val="32"/>
          <w:highlight w:val="none"/>
        </w:rPr>
        <w:t>00万元，抗疫特别国债还本上解支出3611万元，专项债还本支出</w:t>
      </w:r>
      <w:r>
        <w:rPr>
          <w:rFonts w:hint="eastAsia" w:ascii="仿宋_GB2312" w:hAnsi="宋体" w:eastAsia="仿宋_GB2312" w:cs="宋体"/>
          <w:color w:val="auto"/>
          <w:kern w:val="0"/>
          <w:sz w:val="32"/>
          <w:szCs w:val="32"/>
          <w:highlight w:val="none"/>
          <w:lang w:val="en-US" w:eastAsia="zh-CN"/>
        </w:rPr>
        <w:t>1462</w:t>
      </w:r>
      <w:r>
        <w:rPr>
          <w:rFonts w:hint="eastAsia" w:ascii="仿宋_GB2312" w:hAnsi="宋体" w:eastAsia="仿宋_GB2312" w:cs="宋体"/>
          <w:color w:val="auto"/>
          <w:kern w:val="0"/>
          <w:sz w:val="32"/>
          <w:szCs w:val="32"/>
          <w:highlight w:val="none"/>
        </w:rPr>
        <w:t>万元</w:t>
      </w:r>
      <w:r>
        <w:rPr>
          <w:rFonts w:hint="eastAsia" w:ascii="仿宋_GB2312" w:hAnsi="宋体" w:eastAsia="仿宋_GB2312" w:cs="宋体"/>
          <w:color w:val="auto"/>
          <w:kern w:val="0"/>
          <w:sz w:val="32"/>
          <w:szCs w:val="32"/>
          <w:highlight w:val="none"/>
          <w:lang w:eastAsia="zh-CN"/>
        </w:rPr>
        <w:t>后</w:t>
      </w:r>
      <w:r>
        <w:rPr>
          <w:rFonts w:hint="eastAsia" w:ascii="仿宋_GB2312" w:hAnsi="宋体" w:eastAsia="仿宋_GB2312" w:cs="宋体"/>
          <w:color w:val="auto"/>
          <w:kern w:val="0"/>
          <w:sz w:val="32"/>
          <w:szCs w:val="32"/>
          <w:highlight w:val="none"/>
        </w:rPr>
        <w:t>，</w:t>
      </w:r>
      <w:r>
        <w:rPr>
          <w:rFonts w:hint="eastAsia" w:ascii="仿宋_GB2312" w:hAnsi="宋体" w:eastAsia="仿宋_GB2312" w:cs="宋体"/>
          <w:color w:val="auto"/>
          <w:kern w:val="0"/>
          <w:sz w:val="32"/>
          <w:szCs w:val="32"/>
          <w:highlight w:val="yellow"/>
        </w:rPr>
        <w:t>支出</w:t>
      </w:r>
      <w:r>
        <w:rPr>
          <w:rFonts w:hint="eastAsia" w:ascii="仿宋_GB2312" w:hAnsi="宋体" w:eastAsia="仿宋_GB2312" w:cs="宋体"/>
          <w:color w:val="auto"/>
          <w:kern w:val="0"/>
          <w:sz w:val="32"/>
          <w:szCs w:val="32"/>
          <w:highlight w:val="yellow"/>
          <w:lang w:eastAsia="zh-CN"/>
        </w:rPr>
        <w:t>预算</w:t>
      </w:r>
      <w:r>
        <w:rPr>
          <w:rFonts w:hint="eastAsia" w:ascii="仿宋_GB2312" w:hAnsi="宋体" w:eastAsia="仿宋_GB2312" w:cs="宋体"/>
          <w:color w:val="auto"/>
          <w:kern w:val="0"/>
          <w:sz w:val="32"/>
          <w:szCs w:val="32"/>
          <w:highlight w:val="yellow"/>
        </w:rPr>
        <w:t>安排</w:t>
      </w:r>
      <w:r>
        <w:rPr>
          <w:rFonts w:hint="eastAsia" w:ascii="仿宋_GB2312" w:hAnsi="宋体" w:eastAsia="仿宋_GB2312" w:cs="宋体"/>
          <w:color w:val="auto"/>
          <w:kern w:val="0"/>
          <w:sz w:val="32"/>
          <w:szCs w:val="32"/>
          <w:highlight w:val="yellow"/>
          <w:lang w:val="en-US" w:eastAsia="zh-CN"/>
        </w:rPr>
        <w:t>51108</w:t>
      </w:r>
      <w:r>
        <w:rPr>
          <w:rFonts w:hint="eastAsia" w:ascii="仿宋_GB2312" w:hAnsi="宋体" w:eastAsia="仿宋_GB2312" w:cs="宋体"/>
          <w:color w:val="auto"/>
          <w:kern w:val="0"/>
          <w:sz w:val="32"/>
          <w:szCs w:val="32"/>
          <w:highlight w:val="yellow"/>
        </w:rPr>
        <w:t>万元，</w:t>
      </w:r>
      <w:r>
        <w:rPr>
          <w:rFonts w:hint="eastAsia" w:ascii="仿宋_GB2312" w:hAnsi="宋体" w:eastAsia="仿宋_GB2312" w:cs="宋体"/>
          <w:color w:val="auto"/>
          <w:kern w:val="0"/>
          <w:sz w:val="32"/>
          <w:szCs w:val="32"/>
          <w:highlight w:val="none"/>
        </w:rPr>
        <w:t>其中：</w:t>
      </w:r>
      <w:r>
        <w:rPr>
          <w:rFonts w:hint="eastAsia" w:ascii="仿宋_GB2312" w:hAnsi="宋体" w:eastAsia="仿宋_GB2312" w:cs="宋体"/>
          <w:color w:val="auto"/>
          <w:kern w:val="0"/>
          <w:sz w:val="32"/>
          <w:szCs w:val="32"/>
          <w:highlight w:val="none"/>
          <w:lang w:val="en-US" w:eastAsia="zh-CN"/>
        </w:rPr>
        <w:t>资源勘探</w:t>
      </w:r>
      <w:r>
        <w:rPr>
          <w:rFonts w:hint="eastAsia" w:ascii="仿宋_GB2312" w:hAnsi="宋体" w:eastAsia="仿宋_GB2312" w:cs="宋体"/>
          <w:color w:val="auto"/>
          <w:kern w:val="0"/>
          <w:sz w:val="32"/>
          <w:szCs w:val="32"/>
          <w:highlight w:val="none"/>
        </w:rPr>
        <w:t>支出</w:t>
      </w:r>
      <w:r>
        <w:rPr>
          <w:rFonts w:hint="eastAsia" w:ascii="仿宋_GB2312" w:hAnsi="宋体" w:eastAsia="仿宋_GB2312" w:cs="宋体"/>
          <w:color w:val="auto"/>
          <w:kern w:val="0"/>
          <w:sz w:val="32"/>
          <w:szCs w:val="32"/>
          <w:highlight w:val="none"/>
          <w:lang w:val="en-US" w:eastAsia="zh-CN"/>
        </w:rPr>
        <w:t>3676</w:t>
      </w:r>
      <w:r>
        <w:rPr>
          <w:rFonts w:hint="eastAsia" w:ascii="仿宋_GB2312" w:hAnsi="宋体" w:eastAsia="仿宋_GB2312" w:cs="宋体"/>
          <w:color w:val="auto"/>
          <w:kern w:val="0"/>
          <w:sz w:val="32"/>
          <w:szCs w:val="32"/>
          <w:highlight w:val="none"/>
        </w:rPr>
        <w:t>万元（上年结转</w:t>
      </w:r>
      <w:r>
        <w:rPr>
          <w:rFonts w:hint="eastAsia" w:ascii="仿宋_GB2312" w:hAnsi="宋体" w:eastAsia="仿宋_GB2312" w:cs="宋体"/>
          <w:color w:val="auto"/>
          <w:kern w:val="0"/>
          <w:sz w:val="32"/>
          <w:szCs w:val="32"/>
          <w:highlight w:val="none"/>
          <w:lang w:val="en-US" w:eastAsia="zh-CN"/>
        </w:rPr>
        <w:t>超长期特别国债3676</w:t>
      </w:r>
      <w:r>
        <w:rPr>
          <w:rFonts w:hint="eastAsia" w:ascii="仿宋_GB2312" w:hAnsi="宋体" w:eastAsia="仿宋_GB2312" w:cs="宋体"/>
          <w:color w:val="auto"/>
          <w:kern w:val="0"/>
          <w:sz w:val="32"/>
          <w:szCs w:val="32"/>
          <w:highlight w:val="none"/>
        </w:rPr>
        <w:t>万元）；城乡社区支出1</w:t>
      </w:r>
      <w:r>
        <w:rPr>
          <w:rFonts w:hint="eastAsia" w:ascii="仿宋_GB2312" w:hAnsi="宋体" w:eastAsia="仿宋_GB2312" w:cs="宋体"/>
          <w:color w:val="auto"/>
          <w:kern w:val="0"/>
          <w:sz w:val="32"/>
          <w:szCs w:val="32"/>
          <w:highlight w:val="none"/>
          <w:lang w:val="en-US" w:eastAsia="zh-CN"/>
        </w:rPr>
        <w:t>900</w:t>
      </w:r>
      <w:r>
        <w:rPr>
          <w:rFonts w:hint="eastAsia" w:ascii="仿宋_GB2312" w:hAnsi="宋体" w:eastAsia="仿宋_GB2312" w:cs="宋体"/>
          <w:color w:val="auto"/>
          <w:kern w:val="0"/>
          <w:sz w:val="32"/>
          <w:szCs w:val="32"/>
          <w:highlight w:val="none"/>
        </w:rPr>
        <w:t>万元（上年结转</w:t>
      </w:r>
      <w:r>
        <w:rPr>
          <w:rFonts w:hint="eastAsia" w:ascii="仿宋_GB2312" w:hAnsi="宋体" w:eastAsia="仿宋_GB2312" w:cs="宋体"/>
          <w:color w:val="auto"/>
          <w:kern w:val="0"/>
          <w:sz w:val="32"/>
          <w:szCs w:val="32"/>
          <w:highlight w:val="none"/>
          <w:lang w:val="en-US" w:eastAsia="zh-CN"/>
        </w:rPr>
        <w:t>超长期特别国债1871</w:t>
      </w:r>
      <w:r>
        <w:rPr>
          <w:rFonts w:hint="eastAsia" w:ascii="仿宋_GB2312" w:hAnsi="宋体" w:eastAsia="仿宋_GB2312" w:cs="宋体"/>
          <w:color w:val="auto"/>
          <w:kern w:val="0"/>
          <w:sz w:val="32"/>
          <w:szCs w:val="32"/>
          <w:highlight w:val="none"/>
        </w:rPr>
        <w:t>万元）；</w:t>
      </w:r>
      <w:r>
        <w:rPr>
          <w:rFonts w:hint="eastAsia" w:ascii="仿宋_GB2312" w:hAnsi="宋体" w:eastAsia="仿宋_GB2312" w:cs="宋体"/>
          <w:color w:val="auto"/>
          <w:kern w:val="0"/>
          <w:sz w:val="32"/>
          <w:szCs w:val="32"/>
          <w:highlight w:val="yellow"/>
        </w:rPr>
        <w:t>其他支出</w:t>
      </w:r>
      <w:r>
        <w:rPr>
          <w:rFonts w:hint="eastAsia" w:ascii="仿宋_GB2312" w:hAnsi="宋体" w:eastAsia="仿宋_GB2312" w:cs="宋体"/>
          <w:color w:val="auto"/>
          <w:kern w:val="0"/>
          <w:sz w:val="32"/>
          <w:szCs w:val="32"/>
          <w:highlight w:val="yellow"/>
          <w:lang w:val="en-US" w:eastAsia="zh-CN"/>
        </w:rPr>
        <w:t>27202</w:t>
      </w:r>
      <w:r>
        <w:rPr>
          <w:rFonts w:hint="eastAsia" w:ascii="仿宋_GB2312" w:hAnsi="宋体" w:eastAsia="仿宋_GB2312" w:cs="宋体"/>
          <w:color w:val="auto"/>
          <w:kern w:val="0"/>
          <w:sz w:val="32"/>
          <w:szCs w:val="32"/>
          <w:highlight w:val="yellow"/>
        </w:rPr>
        <w:t>万元（上年结转专项债券</w:t>
      </w:r>
      <w:r>
        <w:rPr>
          <w:rFonts w:hint="eastAsia" w:ascii="仿宋_GB2312" w:hAnsi="宋体" w:eastAsia="仿宋_GB2312" w:cs="宋体"/>
          <w:color w:val="auto"/>
          <w:kern w:val="0"/>
          <w:sz w:val="32"/>
          <w:szCs w:val="32"/>
          <w:highlight w:val="yellow"/>
          <w:lang w:val="en-US" w:eastAsia="zh-CN"/>
        </w:rPr>
        <w:t>及超长期特别国债8874</w:t>
      </w:r>
      <w:r>
        <w:rPr>
          <w:rFonts w:hint="eastAsia" w:ascii="仿宋_GB2312" w:hAnsi="宋体" w:eastAsia="仿宋_GB2312" w:cs="宋体"/>
          <w:color w:val="auto"/>
          <w:kern w:val="0"/>
          <w:sz w:val="32"/>
          <w:szCs w:val="32"/>
          <w:highlight w:val="yellow"/>
        </w:rPr>
        <w:t>万元</w:t>
      </w:r>
      <w:r>
        <w:rPr>
          <w:rFonts w:hint="eastAsia" w:ascii="仿宋_GB2312" w:hAnsi="宋体" w:eastAsia="仿宋_GB2312" w:cs="宋体"/>
          <w:color w:val="auto"/>
          <w:kern w:val="0"/>
          <w:sz w:val="32"/>
          <w:szCs w:val="32"/>
          <w:highlight w:val="yellow"/>
          <w:lang w:eastAsia="zh-CN"/>
        </w:rPr>
        <w:t>，当年提前下达专项债券支出</w:t>
      </w:r>
      <w:r>
        <w:rPr>
          <w:rFonts w:hint="eastAsia" w:ascii="仿宋_GB2312" w:hAnsi="宋体" w:eastAsia="仿宋_GB2312" w:cs="宋体"/>
          <w:color w:val="auto"/>
          <w:kern w:val="0"/>
          <w:sz w:val="32"/>
          <w:szCs w:val="32"/>
          <w:highlight w:val="yellow"/>
          <w:lang w:val="en-US" w:eastAsia="zh-CN"/>
        </w:rPr>
        <w:t>15600万元</w:t>
      </w:r>
      <w:r>
        <w:rPr>
          <w:rFonts w:hint="eastAsia" w:ascii="仿宋_GB2312" w:hAnsi="宋体" w:eastAsia="仿宋_GB2312" w:cs="宋体"/>
          <w:color w:val="auto"/>
          <w:kern w:val="0"/>
          <w:sz w:val="32"/>
          <w:szCs w:val="32"/>
          <w:highlight w:val="yellow"/>
        </w:rPr>
        <w:t>）</w:t>
      </w:r>
      <w:r>
        <w:rPr>
          <w:rFonts w:hint="eastAsia" w:ascii="仿宋_GB2312" w:hAnsi="宋体" w:eastAsia="仿宋_GB2312" w:cs="宋体"/>
          <w:color w:val="auto"/>
          <w:kern w:val="0"/>
          <w:sz w:val="32"/>
          <w:szCs w:val="32"/>
          <w:highlight w:val="none"/>
        </w:rPr>
        <w:t>；农林水支出</w:t>
      </w:r>
      <w:r>
        <w:rPr>
          <w:rFonts w:hint="eastAsia" w:ascii="仿宋_GB2312" w:hAnsi="宋体" w:eastAsia="仿宋_GB2312" w:cs="宋体"/>
          <w:color w:val="auto"/>
          <w:kern w:val="0"/>
          <w:sz w:val="32"/>
          <w:szCs w:val="32"/>
          <w:highlight w:val="none"/>
          <w:lang w:val="en-US" w:eastAsia="zh-CN"/>
        </w:rPr>
        <w:t>97</w:t>
      </w:r>
      <w:r>
        <w:rPr>
          <w:rFonts w:hint="eastAsia" w:ascii="仿宋_GB2312" w:hAnsi="宋体" w:eastAsia="仿宋_GB2312" w:cs="宋体"/>
          <w:color w:val="auto"/>
          <w:kern w:val="0"/>
          <w:sz w:val="32"/>
          <w:szCs w:val="32"/>
          <w:highlight w:val="none"/>
        </w:rPr>
        <w:t>万元；文化旅游体育与传媒支出1万元；债务付息支出1</w:t>
      </w:r>
      <w:r>
        <w:rPr>
          <w:rFonts w:hint="eastAsia" w:ascii="仿宋_GB2312" w:hAnsi="宋体" w:eastAsia="仿宋_GB2312" w:cs="宋体"/>
          <w:color w:val="auto"/>
          <w:kern w:val="0"/>
          <w:sz w:val="32"/>
          <w:szCs w:val="32"/>
          <w:highlight w:val="none"/>
          <w:lang w:val="en-US" w:eastAsia="zh-CN"/>
        </w:rPr>
        <w:t>8232</w:t>
      </w:r>
      <w:r>
        <w:rPr>
          <w:rFonts w:hint="eastAsia" w:ascii="仿宋_GB2312" w:hAnsi="宋体" w:eastAsia="仿宋_GB2312" w:cs="宋体"/>
          <w:color w:val="auto"/>
          <w:kern w:val="0"/>
          <w:sz w:val="32"/>
          <w:szCs w:val="32"/>
          <w:highlight w:val="none"/>
        </w:rPr>
        <w:t>万元</w:t>
      </w:r>
      <w:r>
        <w:rPr>
          <w:rFonts w:hint="eastAsia" w:ascii="仿宋_GB2312" w:hAnsi="仿宋" w:eastAsia="仿宋_GB2312"/>
          <w:bCs/>
          <w:color w:val="auto"/>
          <w:sz w:val="32"/>
          <w:szCs w:val="32"/>
          <w:highlight w:val="none"/>
          <w:lang w:eastAsia="zh-CN"/>
        </w:rPr>
        <w:t>（</w:t>
      </w:r>
      <w:r>
        <w:rPr>
          <w:rFonts w:hint="eastAsia" w:ascii="仿宋_GB2312" w:hAnsi="仿宋" w:eastAsia="仿宋_GB2312"/>
          <w:bCs/>
          <w:color w:val="auto"/>
          <w:sz w:val="32"/>
          <w:szCs w:val="32"/>
          <w:highlight w:val="none"/>
          <w:lang w:val="en-US" w:eastAsia="zh-CN"/>
        </w:rPr>
        <w:t>详见附表八</w:t>
      </w:r>
      <w:r>
        <w:rPr>
          <w:rFonts w:hint="eastAsia" w:ascii="仿宋_GB2312" w:hAnsi="仿宋" w:eastAsia="仿宋_GB2312"/>
          <w:bCs/>
          <w:color w:val="auto"/>
          <w:sz w:val="32"/>
          <w:szCs w:val="32"/>
          <w:highlight w:val="none"/>
          <w:lang w:eastAsia="zh-CN"/>
        </w:rPr>
        <w:t>）</w:t>
      </w:r>
      <w:r>
        <w:rPr>
          <w:rFonts w:hint="eastAsia" w:ascii="仿宋_GB2312" w:hAnsi="宋体" w:eastAsia="仿宋_GB2312" w:cs="宋体"/>
          <w:color w:val="auto"/>
          <w:kern w:val="0"/>
          <w:sz w:val="32"/>
          <w:szCs w:val="32"/>
          <w:highlight w:val="none"/>
        </w:rPr>
        <w:t>。</w:t>
      </w:r>
    </w:p>
    <w:p w14:paraId="21F0CD76">
      <w:pPr>
        <w:keepNext w:val="0"/>
        <w:keepLines w:val="0"/>
        <w:pageBreakBefore w:val="0"/>
        <w:widowControl w:val="0"/>
        <w:kinsoku/>
        <w:wordWrap/>
        <w:overflowPunct w:val="0"/>
        <w:topLinePunct w:val="0"/>
        <w:bidi w:val="0"/>
        <w:adjustRightInd w:val="0"/>
        <w:snapToGrid w:val="0"/>
        <w:spacing w:line="560" w:lineRule="exact"/>
        <w:ind w:firstLine="643" w:firstLineChars="200"/>
        <w:textAlignment w:val="auto"/>
        <w:rPr>
          <w:rFonts w:ascii="仿宋_GB2312" w:hAnsi="宋体" w:eastAsia="仿宋_GB2312" w:cs="宋体"/>
          <w:b/>
          <w:kern w:val="0"/>
          <w:sz w:val="32"/>
          <w:szCs w:val="32"/>
          <w:highlight w:val="none"/>
        </w:rPr>
      </w:pPr>
      <w:r>
        <w:rPr>
          <w:rFonts w:ascii="仿宋_GB2312" w:hAnsi="宋体" w:eastAsia="仿宋_GB2312" w:cs="宋体"/>
          <w:b/>
          <w:kern w:val="0"/>
          <w:sz w:val="32"/>
          <w:szCs w:val="32"/>
          <w:highlight w:val="none"/>
        </w:rPr>
        <w:t>3.</w:t>
      </w:r>
      <w:r>
        <w:rPr>
          <w:rFonts w:hint="eastAsia" w:ascii="仿宋_GB2312" w:hAnsi="宋体" w:eastAsia="仿宋_GB2312" w:cs="宋体"/>
          <w:b/>
          <w:kern w:val="0"/>
          <w:sz w:val="32"/>
          <w:szCs w:val="32"/>
          <w:highlight w:val="none"/>
        </w:rPr>
        <w:t>社会保险基金预算</w:t>
      </w:r>
    </w:p>
    <w:p w14:paraId="4E0FC7DD">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0" w:firstLineChars="200"/>
        <w:textAlignment w:val="auto"/>
        <w:rPr>
          <w:rFonts w:hint="eastAsia" w:ascii="仿宋_GB2312" w:hAnsi="宋体" w:eastAsia="仿宋_GB2312" w:cs="宋体"/>
          <w:b/>
          <w:kern w:val="0"/>
          <w:sz w:val="32"/>
          <w:szCs w:val="32"/>
          <w:highlight w:val="none"/>
          <w:lang w:eastAsia="zh-CN"/>
        </w:rPr>
      </w:pPr>
      <w:r>
        <w:rPr>
          <w:rFonts w:hint="eastAsia" w:ascii="仿宋_GB2312" w:hAnsi="宋体" w:eastAsia="仿宋_GB2312" w:cs="宋体"/>
          <w:bCs/>
          <w:kern w:val="0"/>
          <w:sz w:val="32"/>
          <w:szCs w:val="32"/>
          <w:highlight w:val="none"/>
        </w:rPr>
        <w:t>202</w:t>
      </w:r>
      <w:r>
        <w:rPr>
          <w:rFonts w:hint="eastAsia" w:ascii="仿宋_GB2312" w:hAnsi="宋体" w:eastAsia="仿宋_GB2312" w:cs="宋体"/>
          <w:bCs/>
          <w:kern w:val="0"/>
          <w:sz w:val="32"/>
          <w:szCs w:val="32"/>
          <w:highlight w:val="none"/>
          <w:lang w:val="en-US" w:eastAsia="zh-CN"/>
        </w:rPr>
        <w:t>6</w:t>
      </w:r>
      <w:r>
        <w:rPr>
          <w:rFonts w:hint="eastAsia" w:ascii="仿宋_GB2312" w:hAnsi="宋体" w:eastAsia="仿宋_GB2312" w:cs="宋体"/>
          <w:bCs/>
          <w:kern w:val="0"/>
          <w:sz w:val="32"/>
          <w:szCs w:val="32"/>
          <w:highlight w:val="none"/>
        </w:rPr>
        <w:t>年全县社会保险基金收入安排</w:t>
      </w:r>
      <w:r>
        <w:rPr>
          <w:rFonts w:hint="eastAsia" w:ascii="仿宋_GB2312" w:hAnsi="宋体" w:eastAsia="仿宋_GB2312" w:cs="宋体"/>
          <w:bCs/>
          <w:kern w:val="0"/>
          <w:sz w:val="32"/>
          <w:szCs w:val="32"/>
          <w:highlight w:val="none"/>
          <w:lang w:val="en-US" w:eastAsia="zh-CN"/>
        </w:rPr>
        <w:t>64500</w:t>
      </w:r>
      <w:r>
        <w:rPr>
          <w:rFonts w:hint="eastAsia" w:ascii="仿宋_GB2312" w:hAnsi="宋体" w:eastAsia="仿宋_GB2312" w:cs="宋体"/>
          <w:bCs/>
          <w:kern w:val="0"/>
          <w:sz w:val="32"/>
          <w:szCs w:val="32"/>
          <w:highlight w:val="none"/>
        </w:rPr>
        <w:t>万元，比202</w:t>
      </w:r>
      <w:r>
        <w:rPr>
          <w:rFonts w:hint="eastAsia" w:ascii="仿宋_GB2312" w:hAnsi="宋体" w:eastAsia="仿宋_GB2312" w:cs="宋体"/>
          <w:bCs/>
          <w:kern w:val="0"/>
          <w:sz w:val="32"/>
          <w:szCs w:val="32"/>
          <w:highlight w:val="none"/>
          <w:lang w:val="en-US" w:eastAsia="zh-CN"/>
        </w:rPr>
        <w:t>5</w:t>
      </w:r>
      <w:r>
        <w:rPr>
          <w:rFonts w:hint="eastAsia" w:ascii="仿宋_GB2312" w:hAnsi="宋体" w:eastAsia="仿宋_GB2312" w:cs="宋体"/>
          <w:bCs/>
          <w:kern w:val="0"/>
          <w:sz w:val="32"/>
          <w:szCs w:val="32"/>
          <w:highlight w:val="none"/>
        </w:rPr>
        <w:t>年完成数增长</w:t>
      </w:r>
      <w:r>
        <w:rPr>
          <w:rFonts w:hint="eastAsia" w:ascii="仿宋_GB2312" w:hAnsi="宋体" w:eastAsia="仿宋_GB2312" w:cs="宋体"/>
          <w:bCs/>
          <w:kern w:val="0"/>
          <w:sz w:val="32"/>
          <w:szCs w:val="32"/>
          <w:highlight w:val="none"/>
          <w:lang w:val="en-US" w:eastAsia="zh-CN"/>
        </w:rPr>
        <w:t>2.8</w:t>
      </w:r>
      <w:r>
        <w:rPr>
          <w:rFonts w:hint="eastAsia" w:ascii="仿宋_GB2312" w:hAnsi="宋体" w:eastAsia="仿宋_GB2312" w:cs="宋体"/>
          <w:bCs/>
          <w:kern w:val="0"/>
          <w:sz w:val="32"/>
          <w:szCs w:val="32"/>
          <w:highlight w:val="none"/>
        </w:rPr>
        <w:t>%，基金支出安排</w:t>
      </w:r>
      <w:r>
        <w:rPr>
          <w:rFonts w:hint="eastAsia" w:ascii="仿宋_GB2312" w:hAnsi="宋体" w:eastAsia="仿宋_GB2312" w:cs="宋体"/>
          <w:bCs/>
          <w:kern w:val="0"/>
          <w:sz w:val="32"/>
          <w:szCs w:val="32"/>
          <w:highlight w:val="none"/>
          <w:lang w:val="en-US" w:eastAsia="zh-CN"/>
        </w:rPr>
        <w:t>62780</w:t>
      </w:r>
      <w:r>
        <w:rPr>
          <w:rFonts w:hint="eastAsia" w:ascii="仿宋_GB2312" w:hAnsi="宋体" w:eastAsia="仿宋_GB2312" w:cs="宋体"/>
          <w:bCs/>
          <w:kern w:val="0"/>
          <w:sz w:val="32"/>
          <w:szCs w:val="32"/>
          <w:highlight w:val="none"/>
        </w:rPr>
        <w:t>万元，比202</w:t>
      </w:r>
      <w:r>
        <w:rPr>
          <w:rFonts w:hint="eastAsia" w:ascii="仿宋_GB2312" w:hAnsi="宋体" w:eastAsia="仿宋_GB2312" w:cs="宋体"/>
          <w:bCs/>
          <w:kern w:val="0"/>
          <w:sz w:val="32"/>
          <w:szCs w:val="32"/>
          <w:highlight w:val="none"/>
          <w:lang w:val="en-US" w:eastAsia="zh-CN"/>
        </w:rPr>
        <w:t>5</w:t>
      </w:r>
      <w:r>
        <w:rPr>
          <w:rFonts w:hint="eastAsia" w:ascii="仿宋_GB2312" w:hAnsi="宋体" w:eastAsia="仿宋_GB2312" w:cs="宋体"/>
          <w:bCs/>
          <w:kern w:val="0"/>
          <w:sz w:val="32"/>
          <w:szCs w:val="32"/>
          <w:highlight w:val="none"/>
        </w:rPr>
        <w:t>年完成数增长</w:t>
      </w:r>
      <w:r>
        <w:rPr>
          <w:rFonts w:hint="eastAsia" w:ascii="仿宋_GB2312" w:hAnsi="宋体" w:eastAsia="仿宋_GB2312" w:cs="宋体"/>
          <w:bCs/>
          <w:kern w:val="0"/>
          <w:sz w:val="32"/>
          <w:szCs w:val="32"/>
          <w:highlight w:val="none"/>
          <w:lang w:val="en-US" w:eastAsia="zh-CN"/>
        </w:rPr>
        <w:t>3.6</w:t>
      </w:r>
      <w:r>
        <w:rPr>
          <w:rFonts w:hint="eastAsia" w:ascii="仿宋_GB2312" w:hAnsi="宋体" w:eastAsia="仿宋_GB2312" w:cs="宋体"/>
          <w:bCs/>
          <w:kern w:val="0"/>
          <w:sz w:val="32"/>
          <w:szCs w:val="32"/>
          <w:highlight w:val="none"/>
        </w:rPr>
        <w:t>%。机关事业养老保险基金收入</w:t>
      </w:r>
      <w:r>
        <w:rPr>
          <w:rFonts w:hint="eastAsia" w:ascii="仿宋_GB2312" w:hAnsi="宋体" w:eastAsia="仿宋_GB2312" w:cs="宋体"/>
          <w:bCs/>
          <w:kern w:val="0"/>
          <w:sz w:val="32"/>
          <w:szCs w:val="32"/>
          <w:highlight w:val="none"/>
          <w:lang w:val="en-US" w:eastAsia="zh-CN"/>
        </w:rPr>
        <w:t>41782</w:t>
      </w:r>
      <w:r>
        <w:rPr>
          <w:rFonts w:hint="eastAsia" w:ascii="仿宋_GB2312" w:hAnsi="宋体" w:eastAsia="仿宋_GB2312" w:cs="宋体"/>
          <w:bCs/>
          <w:kern w:val="0"/>
          <w:sz w:val="32"/>
          <w:szCs w:val="32"/>
          <w:highlight w:val="none"/>
        </w:rPr>
        <w:t>万元，增长</w:t>
      </w:r>
      <w:r>
        <w:rPr>
          <w:rFonts w:hint="eastAsia" w:ascii="仿宋_GB2312" w:hAnsi="宋体" w:eastAsia="仿宋_GB2312" w:cs="宋体"/>
          <w:bCs/>
          <w:kern w:val="0"/>
          <w:sz w:val="32"/>
          <w:szCs w:val="32"/>
          <w:highlight w:val="none"/>
          <w:lang w:val="en-US" w:eastAsia="zh-CN"/>
        </w:rPr>
        <w:t>1</w:t>
      </w:r>
      <w:r>
        <w:rPr>
          <w:rFonts w:hint="eastAsia" w:ascii="仿宋_GB2312" w:hAnsi="宋体" w:eastAsia="仿宋_GB2312" w:cs="宋体"/>
          <w:bCs/>
          <w:kern w:val="0"/>
          <w:sz w:val="32"/>
          <w:szCs w:val="32"/>
          <w:highlight w:val="none"/>
        </w:rPr>
        <w:t>.5%；支出</w:t>
      </w:r>
      <w:r>
        <w:rPr>
          <w:rFonts w:hint="eastAsia" w:ascii="仿宋_GB2312" w:hAnsi="宋体" w:eastAsia="仿宋_GB2312" w:cs="宋体"/>
          <w:bCs/>
          <w:kern w:val="0"/>
          <w:sz w:val="32"/>
          <w:szCs w:val="32"/>
          <w:highlight w:val="none"/>
          <w:lang w:val="en-US" w:eastAsia="zh-CN"/>
        </w:rPr>
        <w:t>43452</w:t>
      </w:r>
      <w:r>
        <w:rPr>
          <w:rFonts w:hint="eastAsia" w:ascii="仿宋_GB2312" w:hAnsi="宋体" w:eastAsia="仿宋_GB2312" w:cs="宋体"/>
          <w:bCs/>
          <w:kern w:val="0"/>
          <w:sz w:val="32"/>
          <w:szCs w:val="32"/>
          <w:highlight w:val="none"/>
        </w:rPr>
        <w:t>万元，增长</w:t>
      </w:r>
      <w:r>
        <w:rPr>
          <w:rFonts w:hint="eastAsia" w:ascii="仿宋_GB2312" w:hAnsi="宋体" w:eastAsia="仿宋_GB2312" w:cs="宋体"/>
          <w:bCs/>
          <w:kern w:val="0"/>
          <w:sz w:val="32"/>
          <w:szCs w:val="32"/>
          <w:highlight w:val="none"/>
          <w:lang w:val="en-US" w:eastAsia="zh-CN"/>
        </w:rPr>
        <w:t>11.2</w:t>
      </w:r>
      <w:r>
        <w:rPr>
          <w:rFonts w:hint="eastAsia" w:ascii="仿宋_GB2312" w:hAnsi="宋体" w:eastAsia="仿宋_GB2312" w:cs="宋体"/>
          <w:bCs/>
          <w:kern w:val="0"/>
          <w:sz w:val="32"/>
          <w:szCs w:val="32"/>
          <w:highlight w:val="none"/>
        </w:rPr>
        <w:t>%；城乡居民养老保险基金收入</w:t>
      </w:r>
      <w:r>
        <w:rPr>
          <w:rFonts w:hint="eastAsia" w:ascii="仿宋_GB2312" w:hAnsi="宋体" w:eastAsia="仿宋_GB2312" w:cs="宋体"/>
          <w:bCs/>
          <w:kern w:val="0"/>
          <w:sz w:val="32"/>
          <w:szCs w:val="32"/>
          <w:highlight w:val="none"/>
          <w:lang w:val="en-US" w:eastAsia="zh-CN"/>
        </w:rPr>
        <w:t>21307</w:t>
      </w:r>
      <w:r>
        <w:rPr>
          <w:rFonts w:hint="eastAsia" w:ascii="仿宋_GB2312" w:hAnsi="宋体" w:eastAsia="仿宋_GB2312" w:cs="宋体"/>
          <w:bCs/>
          <w:kern w:val="0"/>
          <w:sz w:val="32"/>
          <w:szCs w:val="32"/>
          <w:highlight w:val="none"/>
        </w:rPr>
        <w:t>万元，增长</w:t>
      </w:r>
      <w:r>
        <w:rPr>
          <w:rFonts w:hint="eastAsia" w:ascii="仿宋_GB2312" w:hAnsi="宋体" w:eastAsia="仿宋_GB2312" w:cs="宋体"/>
          <w:bCs/>
          <w:kern w:val="0"/>
          <w:sz w:val="32"/>
          <w:szCs w:val="32"/>
          <w:highlight w:val="none"/>
          <w:lang w:val="en-US" w:eastAsia="zh-CN"/>
        </w:rPr>
        <w:t>7.2</w:t>
      </w:r>
      <w:r>
        <w:rPr>
          <w:rFonts w:hint="eastAsia" w:ascii="仿宋_GB2312" w:hAnsi="宋体" w:eastAsia="仿宋_GB2312" w:cs="宋体"/>
          <w:bCs/>
          <w:kern w:val="0"/>
          <w:sz w:val="32"/>
          <w:szCs w:val="32"/>
          <w:highlight w:val="none"/>
        </w:rPr>
        <w:t>%；支出</w:t>
      </w:r>
      <w:r>
        <w:rPr>
          <w:rFonts w:hint="eastAsia" w:ascii="仿宋_GB2312" w:hAnsi="宋体" w:eastAsia="仿宋_GB2312" w:cs="宋体"/>
          <w:bCs/>
          <w:kern w:val="0"/>
          <w:sz w:val="32"/>
          <w:szCs w:val="32"/>
          <w:highlight w:val="none"/>
          <w:lang w:val="en-US" w:eastAsia="zh-CN"/>
        </w:rPr>
        <w:t>18001</w:t>
      </w:r>
      <w:r>
        <w:rPr>
          <w:rFonts w:hint="eastAsia" w:ascii="仿宋_GB2312" w:hAnsi="宋体" w:eastAsia="仿宋_GB2312" w:cs="宋体"/>
          <w:bCs/>
          <w:kern w:val="0"/>
          <w:sz w:val="32"/>
          <w:szCs w:val="32"/>
          <w:highlight w:val="none"/>
        </w:rPr>
        <w:t>万元，增长4.</w:t>
      </w:r>
      <w:r>
        <w:rPr>
          <w:rFonts w:hint="eastAsia" w:ascii="仿宋_GB2312" w:hAnsi="宋体" w:eastAsia="仿宋_GB2312" w:cs="宋体"/>
          <w:bCs/>
          <w:kern w:val="0"/>
          <w:sz w:val="32"/>
          <w:szCs w:val="32"/>
          <w:highlight w:val="none"/>
          <w:lang w:val="en-US" w:eastAsia="zh-CN"/>
        </w:rPr>
        <w:t>8</w:t>
      </w:r>
      <w:r>
        <w:rPr>
          <w:rFonts w:hint="eastAsia" w:ascii="仿宋_GB2312" w:hAnsi="宋体" w:eastAsia="仿宋_GB2312" w:cs="宋体"/>
          <w:bCs/>
          <w:kern w:val="0"/>
          <w:sz w:val="32"/>
          <w:szCs w:val="32"/>
          <w:highlight w:val="none"/>
        </w:rPr>
        <w:t>%。</w:t>
      </w:r>
      <w:r>
        <w:rPr>
          <w:rFonts w:hint="eastAsia" w:ascii="仿宋_GB2312" w:hAnsi="仿宋" w:eastAsia="仿宋_GB2312"/>
          <w:bCs/>
          <w:sz w:val="32"/>
          <w:szCs w:val="32"/>
          <w:highlight w:val="none"/>
          <w:lang w:eastAsia="zh-CN"/>
        </w:rPr>
        <w:t>（</w:t>
      </w:r>
      <w:r>
        <w:rPr>
          <w:rFonts w:hint="eastAsia" w:ascii="仿宋_GB2312" w:hAnsi="仿宋" w:eastAsia="仿宋_GB2312"/>
          <w:bCs/>
          <w:sz w:val="32"/>
          <w:szCs w:val="32"/>
          <w:highlight w:val="none"/>
          <w:lang w:val="en-US" w:eastAsia="zh-CN"/>
        </w:rPr>
        <w:t>详见附表九</w:t>
      </w:r>
      <w:r>
        <w:rPr>
          <w:rFonts w:hint="eastAsia" w:ascii="仿宋_GB2312" w:hAnsi="仿宋" w:eastAsia="仿宋_GB2312"/>
          <w:bCs/>
          <w:sz w:val="32"/>
          <w:szCs w:val="32"/>
          <w:highlight w:val="none"/>
          <w:lang w:eastAsia="zh-CN"/>
        </w:rPr>
        <w:t>）</w:t>
      </w:r>
    </w:p>
    <w:p w14:paraId="1D25ECE7">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3" w:firstLineChars="200"/>
        <w:textAlignment w:val="auto"/>
        <w:rPr>
          <w:rFonts w:ascii="仿宋_GB2312" w:hAnsi="宋体" w:eastAsia="仿宋_GB2312" w:cs="宋体"/>
          <w:b/>
          <w:kern w:val="0"/>
          <w:sz w:val="32"/>
          <w:szCs w:val="32"/>
          <w:highlight w:val="none"/>
        </w:rPr>
      </w:pPr>
      <w:r>
        <w:rPr>
          <w:rFonts w:ascii="仿宋_GB2312" w:hAnsi="宋体" w:eastAsia="仿宋_GB2312" w:cs="宋体"/>
          <w:b/>
          <w:kern w:val="0"/>
          <w:sz w:val="32"/>
          <w:szCs w:val="32"/>
          <w:highlight w:val="none"/>
        </w:rPr>
        <w:t>4.</w:t>
      </w:r>
      <w:r>
        <w:rPr>
          <w:rFonts w:hint="eastAsia" w:ascii="仿宋_GB2312" w:hAnsi="宋体" w:eastAsia="仿宋_GB2312" w:cs="宋体"/>
          <w:b/>
          <w:kern w:val="0"/>
          <w:sz w:val="32"/>
          <w:szCs w:val="32"/>
          <w:highlight w:val="none"/>
        </w:rPr>
        <w:t>国有资本经营收入预算</w:t>
      </w:r>
    </w:p>
    <w:p w14:paraId="08488128">
      <w:pPr>
        <w:pStyle w:val="31"/>
        <w:keepNext w:val="0"/>
        <w:keepLines w:val="0"/>
        <w:pageBreakBefore w:val="0"/>
        <w:widowControl w:val="0"/>
        <w:kinsoku/>
        <w:wordWrap/>
        <w:overflowPunct w:val="0"/>
        <w:topLinePunct w:val="0"/>
        <w:autoSpaceDE w:val="0"/>
        <w:autoSpaceDN w:val="0"/>
        <w:bidi w:val="0"/>
        <w:adjustRightInd w:val="0"/>
        <w:snapToGrid w:val="0"/>
        <w:spacing w:line="560" w:lineRule="exact"/>
        <w:ind w:firstLine="640" w:firstLineChars="200"/>
        <w:textAlignment w:val="auto"/>
        <w:rPr>
          <w:rFonts w:hint="eastAsia" w:eastAsia="仿宋_GB2312"/>
          <w:kern w:val="21"/>
          <w:sz w:val="32"/>
          <w:szCs w:val="32"/>
          <w:highlight w:val="red"/>
          <w:lang w:eastAsia="zh-CN"/>
        </w:rPr>
      </w:pPr>
      <w:r>
        <w:rPr>
          <w:rFonts w:hint="eastAsia" w:ascii="仿宋_GB2312" w:hAnsi="宋体" w:eastAsia="仿宋_GB2312" w:cs="宋体"/>
          <w:kern w:val="21"/>
          <w:sz w:val="32"/>
          <w:szCs w:val="32"/>
          <w:highlight w:val="none"/>
        </w:rPr>
        <w:t>202</w:t>
      </w:r>
      <w:r>
        <w:rPr>
          <w:rFonts w:hint="eastAsia" w:ascii="仿宋_GB2312" w:hAnsi="宋体" w:eastAsia="仿宋_GB2312" w:cs="宋体"/>
          <w:kern w:val="21"/>
          <w:sz w:val="32"/>
          <w:szCs w:val="32"/>
          <w:highlight w:val="none"/>
          <w:lang w:val="en-US" w:eastAsia="zh-CN"/>
        </w:rPr>
        <w:t>6</w:t>
      </w:r>
      <w:r>
        <w:rPr>
          <w:rFonts w:hint="eastAsia" w:ascii="仿宋_GB2312" w:hAnsi="宋体" w:eastAsia="仿宋_GB2312" w:cs="宋体"/>
          <w:kern w:val="21"/>
          <w:sz w:val="32"/>
          <w:szCs w:val="32"/>
          <w:highlight w:val="none"/>
        </w:rPr>
        <w:t>年国有资本经营收入预算1</w:t>
      </w:r>
      <w:r>
        <w:rPr>
          <w:rFonts w:hint="eastAsia" w:ascii="仿宋_GB2312" w:hAnsi="宋体" w:eastAsia="仿宋_GB2312" w:cs="宋体"/>
          <w:kern w:val="21"/>
          <w:sz w:val="32"/>
          <w:szCs w:val="32"/>
          <w:highlight w:val="none"/>
          <w:lang w:val="en-US" w:eastAsia="zh-CN"/>
        </w:rPr>
        <w:t>2</w:t>
      </w:r>
      <w:r>
        <w:rPr>
          <w:rFonts w:hint="eastAsia" w:ascii="仿宋_GB2312" w:hAnsi="宋体" w:eastAsia="仿宋_GB2312" w:cs="宋体"/>
          <w:kern w:val="21"/>
          <w:sz w:val="32"/>
          <w:szCs w:val="32"/>
          <w:highlight w:val="none"/>
        </w:rPr>
        <w:t>000万元，国有资本经营上级补助收入预算20万元，</w:t>
      </w:r>
      <w:r>
        <w:rPr>
          <w:rFonts w:hint="eastAsia" w:ascii="仿宋_GB2312" w:hAnsi="仿宋" w:eastAsia="仿宋_GB2312"/>
          <w:sz w:val="32"/>
          <w:szCs w:val="32"/>
          <w:highlight w:val="none"/>
        </w:rPr>
        <w:t>调入一般公共预算1</w:t>
      </w:r>
      <w:r>
        <w:rPr>
          <w:rFonts w:hint="eastAsia" w:ascii="仿宋_GB2312" w:hAnsi="仿宋" w:eastAsia="仿宋_GB2312"/>
          <w:sz w:val="32"/>
          <w:szCs w:val="32"/>
          <w:highlight w:val="none"/>
          <w:lang w:val="en-US" w:eastAsia="zh-CN"/>
        </w:rPr>
        <w:t>2</w:t>
      </w:r>
      <w:r>
        <w:rPr>
          <w:rFonts w:hint="eastAsia" w:ascii="仿宋_GB2312" w:hAnsi="仿宋" w:eastAsia="仿宋_GB2312"/>
          <w:sz w:val="32"/>
          <w:szCs w:val="32"/>
          <w:highlight w:val="none"/>
        </w:rPr>
        <w:t>000万元</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用于保障民生支出，</w:t>
      </w:r>
      <w:r>
        <w:rPr>
          <w:rFonts w:hint="eastAsia" w:ascii="仿宋_GB2312" w:hAnsi="宋体" w:eastAsia="仿宋_GB2312" w:cs="宋体"/>
          <w:kern w:val="21"/>
          <w:sz w:val="32"/>
          <w:szCs w:val="32"/>
          <w:highlight w:val="none"/>
        </w:rPr>
        <w:t>国有资本经营支出预算20万元，主要</w:t>
      </w:r>
      <w:r>
        <w:rPr>
          <w:rFonts w:hint="eastAsia" w:ascii="仿宋_GB2312" w:hAnsi="仿宋" w:eastAsia="仿宋_GB2312"/>
          <w:sz w:val="32"/>
          <w:szCs w:val="32"/>
          <w:highlight w:val="none"/>
        </w:rPr>
        <w:t>用于国有企业退休人员社会化管理补助。</w:t>
      </w:r>
      <w:r>
        <w:rPr>
          <w:rFonts w:hint="eastAsia" w:ascii="仿宋_GB2312" w:hAnsi="仿宋" w:eastAsia="仿宋_GB2312"/>
          <w:bCs/>
          <w:sz w:val="32"/>
          <w:szCs w:val="32"/>
          <w:highlight w:val="none"/>
          <w:lang w:eastAsia="zh-CN"/>
        </w:rPr>
        <w:t>（</w:t>
      </w:r>
      <w:r>
        <w:rPr>
          <w:rFonts w:hint="eastAsia" w:ascii="仿宋_GB2312" w:hAnsi="仿宋" w:eastAsia="仿宋_GB2312"/>
          <w:bCs/>
          <w:sz w:val="32"/>
          <w:szCs w:val="32"/>
          <w:highlight w:val="none"/>
          <w:lang w:val="en-US" w:eastAsia="zh-CN"/>
        </w:rPr>
        <w:t>详见附表十</w:t>
      </w:r>
      <w:r>
        <w:rPr>
          <w:rFonts w:hint="eastAsia" w:ascii="仿宋_GB2312" w:hAnsi="仿宋" w:eastAsia="仿宋_GB2312"/>
          <w:bCs/>
          <w:sz w:val="32"/>
          <w:szCs w:val="32"/>
          <w:highlight w:val="none"/>
          <w:lang w:eastAsia="zh-CN"/>
        </w:rPr>
        <w:t>）</w:t>
      </w:r>
    </w:p>
    <w:p w14:paraId="2E3E63F3">
      <w:pPr>
        <w:keepNext w:val="0"/>
        <w:keepLines w:val="0"/>
        <w:pageBreakBefore w:val="0"/>
        <w:widowControl w:val="0"/>
        <w:kinsoku/>
        <w:wordWrap/>
        <w:overflowPunct w:val="0"/>
        <w:topLinePunct w:val="0"/>
        <w:autoSpaceDN/>
        <w:bidi w:val="0"/>
        <w:adjustRightInd w:val="0"/>
        <w:snapToGrid w:val="0"/>
        <w:spacing w:line="560" w:lineRule="exact"/>
        <w:ind w:firstLine="640" w:firstLineChars="200"/>
        <w:textAlignment w:val="auto"/>
        <w:rPr>
          <w:rFonts w:ascii="黑体" w:hAnsi="黑体" w:eastAsia="黑体"/>
          <w:kern w:val="0"/>
          <w:sz w:val="32"/>
          <w:szCs w:val="32"/>
        </w:rPr>
      </w:pPr>
      <w:r>
        <w:rPr>
          <w:rFonts w:hint="eastAsia" w:ascii="黑体" w:hAnsi="黑体" w:eastAsia="黑体"/>
          <w:kern w:val="0"/>
          <w:sz w:val="32"/>
          <w:szCs w:val="32"/>
        </w:rPr>
        <w:t>三、</w:t>
      </w:r>
      <w:r>
        <w:rPr>
          <w:rFonts w:ascii="黑体" w:hAnsi="黑体" w:eastAsia="黑体"/>
          <w:kern w:val="0"/>
          <w:sz w:val="32"/>
          <w:szCs w:val="32"/>
        </w:rPr>
        <w:t>202</w:t>
      </w:r>
      <w:r>
        <w:rPr>
          <w:rFonts w:hint="eastAsia" w:ascii="黑体" w:hAnsi="黑体" w:eastAsia="黑体"/>
          <w:kern w:val="0"/>
          <w:sz w:val="32"/>
          <w:szCs w:val="32"/>
          <w:lang w:val="en-US" w:eastAsia="zh-CN"/>
        </w:rPr>
        <w:t>6</w:t>
      </w:r>
      <w:r>
        <w:rPr>
          <w:rFonts w:hint="eastAsia" w:ascii="黑体" w:hAnsi="黑体" w:eastAsia="黑体"/>
          <w:kern w:val="0"/>
          <w:sz w:val="32"/>
          <w:szCs w:val="32"/>
        </w:rPr>
        <w:t>年财政工作重点</w:t>
      </w:r>
    </w:p>
    <w:p w14:paraId="005DC6AC">
      <w:pPr>
        <w:keepNext w:val="0"/>
        <w:keepLines w:val="0"/>
        <w:pageBreakBefore w:val="0"/>
        <w:widowControl w:val="0"/>
        <w:kinsoku/>
        <w:wordWrap/>
        <w:overflowPunct w:val="0"/>
        <w:topLinePunct w:val="0"/>
        <w:autoSpaceDN/>
        <w:bidi w:val="0"/>
        <w:adjustRightInd w:val="0"/>
        <w:snapToGrid w:val="0"/>
        <w:spacing w:line="560" w:lineRule="exact"/>
        <w:ind w:firstLine="640" w:firstLineChars="200"/>
        <w:textAlignment w:val="auto"/>
        <w:rPr>
          <w:rFonts w:ascii="楷体_GB2312" w:hAnsi="楷体" w:eastAsia="楷体_GB2312" w:cs="楷体"/>
          <w:b/>
          <w:bCs/>
          <w:kern w:val="0"/>
          <w:sz w:val="32"/>
          <w:szCs w:val="32"/>
        </w:rPr>
      </w:pPr>
      <w:r>
        <w:rPr>
          <w:rFonts w:hint="eastAsia" w:ascii="仿宋_GB2312" w:eastAsia="仿宋_GB2312"/>
          <w:kern w:val="0"/>
          <w:sz w:val="32"/>
          <w:szCs w:val="32"/>
        </w:rPr>
        <w:t>202</w:t>
      </w:r>
      <w:r>
        <w:rPr>
          <w:rFonts w:hint="eastAsia" w:ascii="仿宋_GB2312" w:eastAsia="仿宋_GB2312"/>
          <w:kern w:val="0"/>
          <w:sz w:val="32"/>
          <w:szCs w:val="32"/>
          <w:lang w:val="en-US" w:eastAsia="zh-CN"/>
        </w:rPr>
        <w:t>6</w:t>
      </w:r>
      <w:r>
        <w:rPr>
          <w:rFonts w:hint="eastAsia" w:ascii="仿宋_GB2312" w:eastAsia="仿宋_GB2312"/>
          <w:kern w:val="0"/>
          <w:sz w:val="32"/>
          <w:szCs w:val="32"/>
        </w:rPr>
        <w:t>年全县财政工作将</w:t>
      </w:r>
      <w:r>
        <w:rPr>
          <w:rFonts w:hint="eastAsia" w:ascii="仿宋_GB2312" w:hAnsi="宋体" w:eastAsia="仿宋_GB2312" w:cs="宋体"/>
          <w:kern w:val="0"/>
          <w:sz w:val="32"/>
          <w:szCs w:val="32"/>
        </w:rPr>
        <w:t>重点做好以下</w:t>
      </w:r>
      <w:r>
        <w:rPr>
          <w:rFonts w:hint="eastAsia" w:ascii="仿宋_GB2312" w:hAnsi="宋体" w:eastAsia="仿宋_GB2312" w:cs="宋体"/>
          <w:kern w:val="0"/>
          <w:sz w:val="32"/>
          <w:szCs w:val="32"/>
          <w:highlight w:val="none"/>
        </w:rPr>
        <w:t>五</w:t>
      </w:r>
      <w:r>
        <w:rPr>
          <w:rFonts w:hint="eastAsia" w:ascii="仿宋_GB2312" w:hAnsi="宋体" w:eastAsia="仿宋_GB2312" w:cs="宋体"/>
          <w:kern w:val="0"/>
          <w:sz w:val="32"/>
          <w:szCs w:val="32"/>
        </w:rPr>
        <w:t>个方面的工作：</w:t>
      </w:r>
    </w:p>
    <w:p w14:paraId="2D6DFE1F">
      <w:pPr>
        <w:keepNext w:val="0"/>
        <w:keepLines w:val="0"/>
        <w:pageBreakBefore w:val="0"/>
        <w:widowControl w:val="0"/>
        <w:numPr>
          <w:ilvl w:val="0"/>
          <w:numId w:val="0"/>
        </w:numPr>
        <w:kinsoku/>
        <w:wordWrap/>
        <w:overflowPunct w:val="0"/>
        <w:topLinePunct w:val="0"/>
        <w:autoSpaceDN/>
        <w:bidi w:val="0"/>
        <w:adjustRightInd w:val="0"/>
        <w:snapToGrid w:val="0"/>
        <w:spacing w:line="560" w:lineRule="exact"/>
        <w:ind w:firstLine="643" w:firstLineChars="200"/>
        <w:textAlignment w:val="auto"/>
        <w:rPr>
          <w:rFonts w:hint="default" w:ascii="楷体_GB2312" w:hAnsi="楷体" w:eastAsia="楷体_GB2312" w:cs="楷体"/>
          <w:b/>
          <w:bCs/>
          <w:kern w:val="0"/>
          <w:sz w:val="32"/>
          <w:szCs w:val="32"/>
          <w:highlight w:val="none"/>
          <w:lang w:val="en-US" w:eastAsia="zh-CN"/>
        </w:rPr>
      </w:pPr>
      <w:r>
        <w:rPr>
          <w:rFonts w:hint="eastAsia" w:ascii="楷体_GB2312" w:hAnsi="楷体" w:eastAsia="楷体_GB2312" w:cs="楷体"/>
          <w:b/>
          <w:bCs/>
          <w:kern w:val="0"/>
          <w:sz w:val="32"/>
          <w:szCs w:val="32"/>
          <w:highlight w:val="none"/>
          <w:lang w:eastAsia="zh-CN"/>
        </w:rPr>
        <w:t>（</w:t>
      </w:r>
      <w:r>
        <w:rPr>
          <w:rFonts w:hint="eastAsia" w:ascii="楷体_GB2312" w:hAnsi="楷体" w:eastAsia="楷体_GB2312" w:cs="楷体"/>
          <w:b/>
          <w:bCs/>
          <w:kern w:val="0"/>
          <w:sz w:val="32"/>
          <w:szCs w:val="32"/>
          <w:highlight w:val="none"/>
          <w:lang w:val="en-US" w:eastAsia="zh-CN"/>
        </w:rPr>
        <w:t>一</w:t>
      </w:r>
      <w:r>
        <w:rPr>
          <w:rFonts w:hint="eastAsia" w:ascii="楷体_GB2312" w:hAnsi="楷体" w:eastAsia="楷体_GB2312" w:cs="楷体"/>
          <w:b/>
          <w:bCs/>
          <w:kern w:val="0"/>
          <w:sz w:val="32"/>
          <w:szCs w:val="32"/>
          <w:highlight w:val="none"/>
          <w:lang w:eastAsia="zh-CN"/>
        </w:rPr>
        <w:t>）更大力度</w:t>
      </w:r>
      <w:r>
        <w:rPr>
          <w:rFonts w:hint="eastAsia" w:ascii="楷体_GB2312" w:hAnsi="楷体" w:eastAsia="楷体_GB2312" w:cs="楷体"/>
          <w:b/>
          <w:bCs/>
          <w:kern w:val="0"/>
          <w:sz w:val="32"/>
          <w:szCs w:val="32"/>
          <w:highlight w:val="none"/>
          <w:lang w:val="en-US" w:eastAsia="zh-CN"/>
        </w:rPr>
        <w:t>组织财政收入增加地方财力</w:t>
      </w:r>
    </w:p>
    <w:p w14:paraId="767E52E2">
      <w:pPr>
        <w:keepNext w:val="0"/>
        <w:keepLines w:val="0"/>
        <w:pageBreakBefore w:val="0"/>
        <w:widowControl w:val="0"/>
        <w:numPr>
          <w:ilvl w:val="0"/>
          <w:numId w:val="0"/>
        </w:numPr>
        <w:kinsoku/>
        <w:wordWrap/>
        <w:overflowPunct w:val="0"/>
        <w:topLinePunct w:val="0"/>
        <w:autoSpaceDN/>
        <w:bidi w:val="0"/>
        <w:adjustRightInd w:val="0"/>
        <w:snapToGrid w:val="0"/>
        <w:spacing w:line="560" w:lineRule="exact"/>
        <w:ind w:firstLine="640" w:firstLineChars="200"/>
        <w:textAlignment w:val="auto"/>
        <w:rPr>
          <w:rFonts w:hint="default" w:ascii="楷体_GB2312" w:hAnsi="楷体" w:eastAsia="楷体_GB2312" w:cs="楷体"/>
          <w:b w:val="0"/>
          <w:bCs w:val="0"/>
          <w:kern w:val="0"/>
          <w:sz w:val="32"/>
          <w:szCs w:val="32"/>
          <w:highlight w:val="yellow"/>
          <w:lang w:val="en-US" w:eastAsia="zh-CN"/>
        </w:rPr>
      </w:pPr>
      <w:r>
        <w:rPr>
          <w:rFonts w:hint="eastAsia" w:ascii="仿宋_GB2312" w:hAnsi="仿宋_GB2312" w:eastAsia="仿宋_GB2312" w:cs="仿宋_GB2312"/>
          <w:sz w:val="32"/>
          <w:szCs w:val="40"/>
          <w:highlight w:val="none"/>
          <w:lang w:val="en-US" w:eastAsia="zh-CN"/>
        </w:rPr>
        <w:t>强化收入分析与调度。密切跟踪宏观经济形势和重点行业、重点企业运行状况，加强财税联动，定期开展收入形势研判和预测预警，深挖增收潜力，确保依法征收、应收尽收。巩固拓展税源基础，积极配合税务部门，涵养优质税源。提升非税收入征管效能，规范非税收入执收行为，严格执行“收支两条线”管理。加大国有资产（资源）有偿使用收入、国有资本经营收益等征缴力度，确保非税收入依法、足额、及时入库。同时，大力向上争取转移支付资金，切实增加地方可用财力。</w:t>
      </w:r>
    </w:p>
    <w:p w14:paraId="5C204264">
      <w:pPr>
        <w:keepNext w:val="0"/>
        <w:keepLines w:val="0"/>
        <w:pageBreakBefore w:val="0"/>
        <w:widowControl w:val="0"/>
        <w:kinsoku/>
        <w:wordWrap/>
        <w:overflowPunct w:val="0"/>
        <w:topLinePunct w:val="0"/>
        <w:autoSpaceDN/>
        <w:bidi w:val="0"/>
        <w:adjustRightInd w:val="0"/>
        <w:snapToGrid w:val="0"/>
        <w:spacing w:line="560" w:lineRule="exact"/>
        <w:ind w:firstLine="643" w:firstLineChars="200"/>
        <w:textAlignment w:val="auto"/>
        <w:rPr>
          <w:rFonts w:ascii="楷体_GB2312" w:hAnsi="楷体" w:eastAsia="楷体_GB2312" w:cs="楷体"/>
          <w:b/>
          <w:bCs/>
          <w:kern w:val="0"/>
          <w:sz w:val="32"/>
          <w:szCs w:val="32"/>
          <w:highlight w:val="none"/>
        </w:rPr>
      </w:pPr>
      <w:r>
        <w:rPr>
          <w:rFonts w:hint="eastAsia" w:ascii="楷体_GB2312" w:hAnsi="楷体" w:eastAsia="楷体_GB2312" w:cs="楷体"/>
          <w:b/>
          <w:bCs/>
          <w:kern w:val="0"/>
          <w:sz w:val="32"/>
          <w:szCs w:val="32"/>
          <w:highlight w:val="none"/>
        </w:rPr>
        <w:t>（</w:t>
      </w:r>
      <w:r>
        <w:rPr>
          <w:rFonts w:hint="eastAsia" w:ascii="楷体_GB2312" w:hAnsi="楷体" w:eastAsia="楷体_GB2312" w:cs="楷体"/>
          <w:b/>
          <w:bCs/>
          <w:kern w:val="0"/>
          <w:sz w:val="32"/>
          <w:szCs w:val="32"/>
          <w:highlight w:val="none"/>
          <w:lang w:val="en-US" w:eastAsia="zh-CN"/>
        </w:rPr>
        <w:t>二</w:t>
      </w:r>
      <w:r>
        <w:rPr>
          <w:rFonts w:hint="eastAsia" w:ascii="楷体_GB2312" w:hAnsi="楷体" w:eastAsia="楷体_GB2312" w:cs="楷体"/>
          <w:b/>
          <w:bCs/>
          <w:kern w:val="0"/>
          <w:sz w:val="32"/>
          <w:szCs w:val="32"/>
          <w:highlight w:val="none"/>
        </w:rPr>
        <w:t>）更大力度落实更加积极的财政政策</w:t>
      </w:r>
    </w:p>
    <w:p w14:paraId="7639055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40"/>
          <w:highlight w:val="none"/>
        </w:rPr>
      </w:pPr>
      <w:r>
        <w:rPr>
          <w:rFonts w:hint="eastAsia" w:ascii="仿宋_GB2312" w:hAnsi="仿宋_GB2312" w:eastAsia="仿宋_GB2312" w:cs="仿宋_GB2312"/>
          <w:sz w:val="32"/>
          <w:szCs w:val="40"/>
          <w:highlight w:val="none"/>
        </w:rPr>
        <w:t>综合运用相关财税政策工具，统筹用好中央和省级资金，鼓励因地制宜开展促消费活动。强化财政与金融政策联动，落实个人消费贷款和服务业经营主体贷款</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rPr>
        <w:t>双贴息</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rPr>
        <w:t>政策。发挥政府资金引导作用，统筹用好超长期特别国债、专项债券、中央预算内投资等资金。强化对预算分配下达、拨付使用等全流程监控，推动资金尽早落实到项目。加大省级制造业高质量发展专项资金、首套重大技术装备奖励等扶持</w:t>
      </w:r>
      <w:r>
        <w:rPr>
          <w:rFonts w:hint="eastAsia" w:ascii="仿宋_GB2312" w:hAnsi="仿宋_GB2312" w:eastAsia="仿宋_GB2312" w:cs="仿宋_GB2312"/>
          <w:sz w:val="32"/>
          <w:szCs w:val="40"/>
          <w:highlight w:val="none"/>
          <w:lang w:val="en-US" w:eastAsia="zh-CN"/>
        </w:rPr>
        <w:t>奖补</w:t>
      </w:r>
      <w:r>
        <w:rPr>
          <w:rFonts w:hint="eastAsia" w:ascii="仿宋_GB2312" w:hAnsi="仿宋_GB2312" w:eastAsia="仿宋_GB2312" w:cs="仿宋_GB2312"/>
          <w:sz w:val="32"/>
          <w:szCs w:val="40"/>
          <w:highlight w:val="none"/>
        </w:rPr>
        <w:t>资金申报，帮助企业转型升级。加快清理拖欠企业账款，着力缓解市场主体资金困难。</w:t>
      </w:r>
    </w:p>
    <w:p w14:paraId="40C1694A">
      <w:pPr>
        <w:keepNext w:val="0"/>
        <w:keepLines w:val="0"/>
        <w:pageBreakBefore w:val="0"/>
        <w:widowControl w:val="0"/>
        <w:kinsoku/>
        <w:wordWrap/>
        <w:overflowPunct w:val="0"/>
        <w:topLinePunct w:val="0"/>
        <w:autoSpaceDE/>
        <w:autoSpaceDN/>
        <w:bidi w:val="0"/>
        <w:adjustRightInd w:val="0"/>
        <w:snapToGrid w:val="0"/>
        <w:spacing w:line="560" w:lineRule="exact"/>
        <w:ind w:firstLine="643" w:firstLineChars="200"/>
        <w:textAlignment w:val="auto"/>
        <w:rPr>
          <w:rFonts w:ascii="楷体_GB2312" w:hAnsi="楷体" w:eastAsia="楷体_GB2312" w:cs="楷体"/>
          <w:b/>
          <w:bCs/>
          <w:kern w:val="0"/>
          <w:sz w:val="32"/>
          <w:szCs w:val="32"/>
          <w:highlight w:val="none"/>
        </w:rPr>
      </w:pPr>
      <w:r>
        <w:rPr>
          <w:rFonts w:hint="eastAsia" w:ascii="楷体_GB2312" w:hAnsi="楷体" w:eastAsia="楷体_GB2312" w:cs="楷体"/>
          <w:b/>
          <w:bCs/>
          <w:kern w:val="0"/>
          <w:sz w:val="32"/>
          <w:szCs w:val="32"/>
          <w:highlight w:val="none"/>
        </w:rPr>
        <w:t>（</w:t>
      </w:r>
      <w:r>
        <w:rPr>
          <w:rFonts w:hint="eastAsia" w:ascii="楷体_GB2312" w:hAnsi="楷体" w:eastAsia="楷体_GB2312" w:cs="楷体"/>
          <w:b/>
          <w:bCs/>
          <w:kern w:val="0"/>
          <w:sz w:val="32"/>
          <w:szCs w:val="32"/>
          <w:highlight w:val="none"/>
          <w:lang w:val="en-US" w:eastAsia="zh-CN"/>
        </w:rPr>
        <w:t>三</w:t>
      </w:r>
      <w:r>
        <w:rPr>
          <w:rFonts w:hint="eastAsia" w:ascii="楷体_GB2312" w:hAnsi="楷体" w:eastAsia="楷体_GB2312" w:cs="楷体"/>
          <w:b/>
          <w:bCs/>
          <w:kern w:val="0"/>
          <w:sz w:val="32"/>
          <w:szCs w:val="32"/>
          <w:highlight w:val="none"/>
        </w:rPr>
        <w:t>）更大力度支持生态建设和乡村全面振兴</w:t>
      </w:r>
    </w:p>
    <w:p w14:paraId="09CEF43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40"/>
          <w:highlight w:val="none"/>
        </w:rPr>
      </w:pPr>
      <w:r>
        <w:rPr>
          <w:rFonts w:hint="eastAsia" w:ascii="仿宋_GB2312" w:hAnsi="仿宋_GB2312" w:eastAsia="仿宋_GB2312" w:cs="仿宋_GB2312"/>
          <w:kern w:val="0"/>
          <w:sz w:val="32"/>
          <w:szCs w:val="32"/>
          <w:highlight w:val="none"/>
          <w:lang w:val="en-US" w:eastAsia="zh-CN"/>
        </w:rPr>
        <w:t>统筹资金</w:t>
      </w:r>
      <w:r>
        <w:rPr>
          <w:rFonts w:hint="eastAsia" w:ascii="仿宋_GB2312" w:hAnsi="仿宋_GB2312" w:eastAsia="仿宋_GB2312" w:cs="仿宋_GB2312"/>
          <w:kern w:val="0"/>
          <w:sz w:val="32"/>
          <w:szCs w:val="32"/>
          <w:highlight w:val="none"/>
        </w:rPr>
        <w:t>安排污染防治资金，</w:t>
      </w:r>
      <w:r>
        <w:rPr>
          <w:rFonts w:hint="eastAsia" w:ascii="仿宋_GB2312" w:hAnsi="仿宋_GB2312" w:eastAsia="仿宋_GB2312" w:cs="仿宋_GB2312"/>
          <w:sz w:val="32"/>
          <w:szCs w:val="40"/>
          <w:highlight w:val="none"/>
        </w:rPr>
        <w:t>支持大气污染治理提质增效行动、土壤污染源头防控行动深入开展，</w:t>
      </w:r>
      <w:r>
        <w:rPr>
          <w:rFonts w:hint="eastAsia" w:ascii="仿宋_GB2312" w:hAnsi="仿宋_GB2312" w:eastAsia="仿宋_GB2312" w:cs="仿宋_GB2312"/>
          <w:kern w:val="0"/>
          <w:sz w:val="32"/>
          <w:szCs w:val="32"/>
          <w:highlight w:val="none"/>
        </w:rPr>
        <w:t>打好蓝天、碧水、净土保卫战，持续改善生态环境质量。</w:t>
      </w:r>
      <w:r>
        <w:rPr>
          <w:rFonts w:hint="eastAsia" w:ascii="仿宋_GB2312" w:hAnsi="仿宋_GB2312" w:eastAsia="仿宋_GB2312" w:cs="仿宋_GB2312"/>
          <w:sz w:val="32"/>
          <w:szCs w:val="40"/>
          <w:highlight w:val="none"/>
        </w:rPr>
        <w:t>用好南水北调中线工程引导性补助，</w:t>
      </w:r>
      <w:r>
        <w:rPr>
          <w:rFonts w:hint="eastAsia" w:ascii="仿宋_GB2312" w:hAnsi="仿宋_GB2312" w:eastAsia="仿宋_GB2312" w:cs="仿宋_GB2312"/>
          <w:sz w:val="32"/>
          <w:szCs w:val="40"/>
          <w:highlight w:val="none"/>
          <w:lang w:val="en-US" w:eastAsia="zh-CN"/>
        </w:rPr>
        <w:t>在重点生态功能区转移支付资金上和水源地污染及生态修复资金上，持续向上对接，</w:t>
      </w:r>
      <w:r>
        <w:rPr>
          <w:rFonts w:hint="eastAsia" w:ascii="仿宋_GB2312" w:hAnsi="仿宋_GB2312" w:eastAsia="仿宋_GB2312" w:cs="仿宋_GB2312"/>
          <w:sz w:val="32"/>
          <w:szCs w:val="40"/>
          <w:highlight w:val="none"/>
        </w:rPr>
        <w:t>加强丹江口水库核心水源区和干渠沿线生态保护治理，确保</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rPr>
        <w:t>一泓清水永续北送</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rPr>
        <w:t>。支持高标准农田、水利基础设施等建设</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rPr>
        <w:t>推动农业</w:t>
      </w:r>
      <w:r>
        <w:rPr>
          <w:rFonts w:hint="eastAsia" w:ascii="仿宋_GB2312" w:hAnsi="仿宋_GB2312" w:eastAsia="仿宋_GB2312" w:cs="仿宋_GB2312"/>
          <w:sz w:val="32"/>
          <w:szCs w:val="40"/>
          <w:highlight w:val="none"/>
          <w:lang w:val="en-US" w:eastAsia="zh-CN"/>
        </w:rPr>
        <w:t>特色</w:t>
      </w:r>
      <w:r>
        <w:rPr>
          <w:rFonts w:hint="eastAsia" w:ascii="仿宋_GB2312" w:hAnsi="仿宋_GB2312" w:eastAsia="仿宋_GB2312" w:cs="仿宋_GB2312"/>
          <w:sz w:val="32"/>
          <w:szCs w:val="40"/>
          <w:highlight w:val="none"/>
        </w:rPr>
        <w:t>保险扩面增品提标。落实好农机购置与应用补贴政策。继续巩固拓展脱贫攻坚成果</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rPr>
        <w:t>重点支持产业帮扶</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rPr>
        <w:t>加大对防止返贫致贫对象等重点群体的帮扶力度。</w:t>
      </w:r>
      <w:r>
        <w:rPr>
          <w:rFonts w:hint="eastAsia" w:ascii="仿宋_GB2312" w:hAnsi="仿宋_GB2312" w:eastAsia="仿宋_GB2312" w:cs="仿宋_GB2312"/>
          <w:sz w:val="32"/>
          <w:szCs w:val="40"/>
          <w:highlight w:val="none"/>
          <w:lang w:val="en-US" w:eastAsia="zh-CN"/>
        </w:rPr>
        <w:t>大力</w:t>
      </w:r>
      <w:r>
        <w:rPr>
          <w:rFonts w:hint="eastAsia" w:ascii="仿宋_GB2312" w:hAnsi="Times New Roman" w:eastAsia="仿宋_GB2312"/>
          <w:sz w:val="32"/>
          <w:szCs w:val="32"/>
          <w:highlight w:val="none"/>
        </w:rPr>
        <w:t>争取农村公益事业</w:t>
      </w:r>
      <w:r>
        <w:rPr>
          <w:rFonts w:hint="eastAsia" w:ascii="仿宋_GB2312" w:hAnsi="Times New Roman" w:eastAsia="仿宋_GB2312"/>
          <w:sz w:val="32"/>
          <w:szCs w:val="32"/>
          <w:highlight w:val="none"/>
          <w:lang w:val="en-US" w:eastAsia="zh-CN"/>
        </w:rPr>
        <w:t>和</w:t>
      </w:r>
      <w:r>
        <w:rPr>
          <w:rFonts w:hint="eastAsia" w:ascii="仿宋_GB2312" w:hAnsi="仿宋_GB2312" w:eastAsia="仿宋_GB2312" w:cs="仿宋_GB2312"/>
          <w:sz w:val="32"/>
          <w:szCs w:val="40"/>
          <w:highlight w:val="none"/>
        </w:rPr>
        <w:t>农村综合改革</w:t>
      </w:r>
      <w:r>
        <w:rPr>
          <w:rFonts w:hint="eastAsia" w:ascii="仿宋_GB2312" w:hAnsi="Times New Roman" w:eastAsia="仿宋_GB2312"/>
          <w:sz w:val="32"/>
          <w:szCs w:val="32"/>
          <w:highlight w:val="none"/>
        </w:rPr>
        <w:t>财政奖补</w:t>
      </w:r>
      <w:r>
        <w:rPr>
          <w:rFonts w:hint="eastAsia" w:ascii="仿宋_GB2312" w:hAnsi="Times New Roman" w:eastAsia="仿宋_GB2312"/>
          <w:sz w:val="32"/>
          <w:szCs w:val="32"/>
          <w:highlight w:val="none"/>
          <w:lang w:val="en-US" w:eastAsia="zh-CN"/>
        </w:rPr>
        <w:t>资金</w:t>
      </w:r>
      <w:r>
        <w:rPr>
          <w:rFonts w:hint="eastAsia" w:ascii="仿宋_GB2312" w:hAnsi="仿宋_GB2312" w:eastAsia="仿宋_GB2312" w:cs="仿宋_GB2312"/>
          <w:sz w:val="32"/>
          <w:szCs w:val="40"/>
          <w:highlight w:val="none"/>
        </w:rPr>
        <w:t>。</w:t>
      </w:r>
      <w:r>
        <w:rPr>
          <w:rFonts w:hint="eastAsia" w:ascii="仿宋_GB2312" w:hAnsi="仿宋_GB2312" w:eastAsia="仿宋_GB2312" w:cs="仿宋_GB2312"/>
          <w:sz w:val="32"/>
          <w:szCs w:val="40"/>
          <w:highlight w:val="none"/>
          <w:lang w:val="en-US" w:eastAsia="zh-CN"/>
        </w:rPr>
        <w:t>落实</w:t>
      </w:r>
      <w:r>
        <w:rPr>
          <w:rFonts w:hint="eastAsia" w:ascii="仿宋_GB2312" w:hAnsi="仿宋_GB2312" w:eastAsia="仿宋_GB2312" w:cs="仿宋_GB2312"/>
          <w:sz w:val="32"/>
          <w:szCs w:val="40"/>
          <w:highlight w:val="none"/>
        </w:rPr>
        <w:t>村级组织运转经费奖补资金，推进党建引领基层高效能治理。</w:t>
      </w:r>
    </w:p>
    <w:p w14:paraId="5E81C3B7">
      <w:pPr>
        <w:keepNext w:val="0"/>
        <w:keepLines w:val="0"/>
        <w:pageBreakBefore w:val="0"/>
        <w:widowControl w:val="0"/>
        <w:kinsoku/>
        <w:wordWrap/>
        <w:overflowPunct w:val="0"/>
        <w:topLinePunct w:val="0"/>
        <w:autoSpaceDE/>
        <w:autoSpaceDN/>
        <w:bidi w:val="0"/>
        <w:adjustRightInd w:val="0"/>
        <w:snapToGrid w:val="0"/>
        <w:spacing w:line="560" w:lineRule="exact"/>
        <w:ind w:firstLine="643" w:firstLineChars="200"/>
        <w:textAlignment w:val="auto"/>
        <w:rPr>
          <w:rFonts w:ascii="楷体_GB2312" w:hAnsi="楷体" w:eastAsia="楷体_GB2312" w:cs="楷体"/>
          <w:b/>
          <w:bCs/>
          <w:kern w:val="0"/>
          <w:sz w:val="32"/>
          <w:szCs w:val="32"/>
          <w:highlight w:val="none"/>
        </w:rPr>
      </w:pPr>
      <w:r>
        <w:rPr>
          <w:rFonts w:hint="eastAsia" w:ascii="楷体_GB2312" w:hAnsi="楷体" w:eastAsia="楷体_GB2312" w:cs="楷体"/>
          <w:b/>
          <w:bCs/>
          <w:kern w:val="0"/>
          <w:sz w:val="32"/>
          <w:szCs w:val="32"/>
          <w:highlight w:val="none"/>
        </w:rPr>
        <w:t>（</w:t>
      </w:r>
      <w:r>
        <w:rPr>
          <w:rFonts w:hint="eastAsia" w:ascii="楷体_GB2312" w:hAnsi="楷体" w:eastAsia="楷体_GB2312" w:cs="楷体"/>
          <w:b/>
          <w:bCs/>
          <w:kern w:val="0"/>
          <w:sz w:val="32"/>
          <w:szCs w:val="32"/>
          <w:highlight w:val="none"/>
          <w:lang w:val="en-US" w:eastAsia="zh-CN"/>
        </w:rPr>
        <w:t>四</w:t>
      </w:r>
      <w:r>
        <w:rPr>
          <w:rFonts w:hint="eastAsia" w:ascii="楷体_GB2312" w:hAnsi="楷体" w:eastAsia="楷体_GB2312" w:cs="楷体"/>
          <w:b/>
          <w:bCs/>
          <w:kern w:val="0"/>
          <w:sz w:val="32"/>
          <w:szCs w:val="32"/>
          <w:highlight w:val="none"/>
        </w:rPr>
        <w:t>）更大力度支持保障和改善民生</w:t>
      </w:r>
    </w:p>
    <w:p w14:paraId="6C164EE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楷体_GB2312" w:hAnsi="楷体" w:eastAsia="楷体_GB2312" w:cs="楷体"/>
          <w:b/>
          <w:bCs/>
          <w:kern w:val="0"/>
          <w:sz w:val="32"/>
          <w:szCs w:val="32"/>
          <w:highlight w:val="none"/>
        </w:rPr>
      </w:pPr>
      <w:r>
        <w:rPr>
          <w:rFonts w:hint="eastAsia" w:ascii="仿宋_GB2312" w:hAnsi="仿宋_GB2312" w:eastAsia="仿宋_GB2312" w:cs="仿宋_GB2312"/>
          <w:sz w:val="32"/>
          <w:szCs w:val="40"/>
          <w:highlight w:val="none"/>
        </w:rPr>
        <w:t>坚持尽力而为、量力而行为人民群众多办好事实事，解决好群众急难愁盼问题。统筹用好就业补助资金、贷款贴息等推动就业创业扶持政策落实，支持实施乡村振兴村级协理员专项计划</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rPr>
        <w:t>支持实施职业技能培训。</w:t>
      </w:r>
      <w:r>
        <w:rPr>
          <w:rFonts w:hint="eastAsia" w:ascii="仿宋_GB2312" w:hAnsi="仿宋_GB2312" w:eastAsia="仿宋_GB2312" w:cs="仿宋_GB2312"/>
          <w:sz w:val="32"/>
          <w:szCs w:val="40"/>
          <w:highlight w:val="none"/>
          <w:lang w:val="en-US" w:eastAsia="zh-CN"/>
        </w:rPr>
        <w:t>落实</w:t>
      </w:r>
      <w:r>
        <w:rPr>
          <w:rFonts w:hint="eastAsia" w:ascii="仿宋_GB2312" w:hAnsi="仿宋_GB2312" w:eastAsia="仿宋_GB2312" w:cs="仿宋_GB2312"/>
          <w:sz w:val="32"/>
          <w:szCs w:val="40"/>
          <w:highlight w:val="none"/>
        </w:rPr>
        <w:t>提高城乡居民基本医疗保险财政补助标准和基本公共卫生服务经费人均财政补助标准</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rPr>
        <w:t>城乡居民基础养老金最低标准、城乡低保标准、残疾人</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rPr>
        <w:t>两项补贴</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rPr>
        <w:t>标准、孤儿养育标准。强化生育支持政策，发放育儿补贴，支持做好退役军人服务保障。加大教育财政投入，落实免费学前教育政策</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rPr>
        <w:t>推动义务教育优质均衡发展，提升职业教育办学能力</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lang w:val="en-US" w:eastAsia="zh-CN"/>
        </w:rPr>
        <w:t>完善</w:t>
      </w:r>
      <w:r>
        <w:rPr>
          <w:rFonts w:hint="eastAsia" w:ascii="仿宋_GB2312" w:hAnsi="仿宋_GB2312" w:eastAsia="仿宋_GB2312" w:cs="仿宋_GB2312"/>
          <w:sz w:val="32"/>
          <w:szCs w:val="40"/>
          <w:highlight w:val="none"/>
        </w:rPr>
        <w:t>学生资助保障底线。</w:t>
      </w:r>
      <w:r>
        <w:rPr>
          <w:rFonts w:hint="eastAsia" w:ascii="仿宋_GB2312" w:hAnsi="仿宋_GB2312" w:eastAsia="仿宋_GB2312" w:cs="仿宋_GB2312"/>
          <w:color w:val="FFC000"/>
          <w:kern w:val="0"/>
          <w:sz w:val="32"/>
          <w:szCs w:val="32"/>
          <w:highlight w:val="none"/>
        </w:rPr>
        <w:t>。</w:t>
      </w:r>
    </w:p>
    <w:p w14:paraId="41CB1992">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楷体_GB2312" w:hAnsi="楷体_GB2312" w:eastAsia="楷体_GB2312" w:cs="楷体_GB2312"/>
          <w:b/>
          <w:bCs/>
          <w:kern w:val="0"/>
          <w:sz w:val="32"/>
          <w:szCs w:val="32"/>
          <w:highlight w:val="none"/>
          <w:lang w:eastAsia="zh-CN"/>
        </w:rPr>
      </w:pPr>
      <w:r>
        <w:rPr>
          <w:rFonts w:hint="eastAsia" w:ascii="楷体_GB2312" w:hAnsi="楷体_GB2312" w:eastAsia="楷体_GB2312" w:cs="楷体_GB2312"/>
          <w:b/>
          <w:bCs/>
          <w:kern w:val="0"/>
          <w:sz w:val="32"/>
          <w:szCs w:val="32"/>
          <w:highlight w:val="none"/>
          <w:lang w:val="en-US" w:eastAsia="zh-CN"/>
        </w:rPr>
        <w:t>（五）更大力度</w:t>
      </w:r>
      <w:r>
        <w:rPr>
          <w:rFonts w:hint="eastAsia" w:ascii="楷体_GB2312" w:hAnsi="楷体_GB2312" w:eastAsia="楷体_GB2312" w:cs="楷体_GB2312"/>
          <w:b/>
          <w:bCs/>
          <w:kern w:val="0"/>
          <w:sz w:val="32"/>
          <w:szCs w:val="32"/>
          <w:highlight w:val="none"/>
        </w:rPr>
        <w:t>提高财政改革管理水平</w:t>
      </w:r>
    </w:p>
    <w:p w14:paraId="325E94B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cs="黑体"/>
          <w:kern w:val="0"/>
          <w:sz w:val="32"/>
          <w:szCs w:val="32"/>
          <w:highlight w:val="none"/>
          <w:shd w:val="clear" w:color="auto" w:fill="FFFFFF"/>
        </w:rPr>
      </w:pPr>
      <w:r>
        <w:rPr>
          <w:rFonts w:hint="eastAsia" w:ascii="仿宋_GB2312" w:hAnsi="仿宋_GB2312" w:eastAsia="仿宋_GB2312" w:cs="仿宋_GB2312"/>
          <w:sz w:val="32"/>
          <w:szCs w:val="40"/>
          <w:highlight w:val="none"/>
        </w:rPr>
        <w:t>强化财政资源统筹，实行全口径预算管理。深化零基预算改革</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rPr>
        <w:t>破除</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rPr>
        <w:t>基数加增长</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rPr>
        <w:t>传统理念。完善库款管理与预算执行、债券发行、现金管理的统筹协调机制，保障支付需求、降低筹资成本。</w:t>
      </w:r>
      <w:r>
        <w:rPr>
          <w:rFonts w:hint="eastAsia" w:ascii="仿宋_GB2312" w:hAnsi="仿宋_GB2312" w:eastAsia="仿宋_GB2312" w:cs="仿宋_GB2312"/>
          <w:b w:val="0"/>
          <w:bCs w:val="0"/>
          <w:sz w:val="32"/>
          <w:szCs w:val="40"/>
          <w:highlight w:val="none"/>
        </w:rPr>
        <w:t>多措并举加强政府债务管理</w:t>
      </w:r>
      <w:r>
        <w:rPr>
          <w:rFonts w:hint="eastAsia" w:ascii="仿宋_GB2312" w:hAnsi="仿宋_GB2312" w:eastAsia="仿宋_GB2312" w:cs="仿宋_GB2312"/>
          <w:b w:val="0"/>
          <w:bCs w:val="0"/>
          <w:sz w:val="32"/>
          <w:szCs w:val="40"/>
          <w:highlight w:val="none"/>
          <w:lang w:eastAsia="zh-CN"/>
        </w:rPr>
        <w:t>，</w:t>
      </w:r>
      <w:r>
        <w:rPr>
          <w:rFonts w:hint="eastAsia" w:ascii="仿宋_GB2312" w:hAnsi="仿宋_GB2312" w:eastAsia="仿宋_GB2312" w:cs="仿宋_GB2312"/>
          <w:sz w:val="32"/>
          <w:szCs w:val="40"/>
          <w:highlight w:val="none"/>
        </w:rPr>
        <w:t>将债券还本付息资金足额列入预算，确保兑付不出风险。加快化解存量隐性债务</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rPr>
        <w:t>严把源头关口，规范地方政府举债融资行为。</w:t>
      </w:r>
      <w:r>
        <w:rPr>
          <w:rFonts w:hint="eastAsia" w:ascii="仿宋_GB2312" w:hAnsi="仿宋_GB2312" w:eastAsia="仿宋_GB2312" w:cs="仿宋_GB2312"/>
          <w:b w:val="0"/>
          <w:bCs w:val="0"/>
          <w:sz w:val="32"/>
          <w:szCs w:val="40"/>
          <w:highlight w:val="none"/>
        </w:rPr>
        <w:t>管好用好国有资产</w:t>
      </w:r>
      <w:r>
        <w:rPr>
          <w:rFonts w:hint="eastAsia" w:ascii="仿宋_GB2312" w:hAnsi="仿宋_GB2312" w:eastAsia="仿宋_GB2312" w:cs="仿宋_GB2312"/>
          <w:b w:val="0"/>
          <w:bCs w:val="0"/>
          <w:sz w:val="32"/>
          <w:szCs w:val="40"/>
          <w:highlight w:val="none"/>
          <w:lang w:eastAsia="zh-CN"/>
        </w:rPr>
        <w:t>，</w:t>
      </w:r>
      <w:r>
        <w:rPr>
          <w:rFonts w:hint="eastAsia" w:ascii="仿宋_GB2312" w:hAnsi="仿宋_GB2312" w:eastAsia="仿宋_GB2312" w:cs="仿宋_GB2312"/>
          <w:sz w:val="32"/>
          <w:szCs w:val="40"/>
          <w:highlight w:val="none"/>
        </w:rPr>
        <w:t>加强行政事业性国有资产管理</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rPr>
        <w:t>推进资产管理与预算管理、财务管理相结合，严格资产配置、使用和处置全生命周期管理，加强资产调剂共享，提高资产使用效益。依法合规，稳妥有序盘活低效国有资产</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rPr>
        <w:t>切实摸清底数，采取调剂共享、出租、处置变现等多种方式推进盘活。切实履行财会监督主责，进一步严肃财经纪律，确保财政资金和财政干部</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rPr>
        <w:t>双安全</w:t>
      </w:r>
      <w:r>
        <w:rPr>
          <w:rFonts w:hint="eastAsia" w:ascii="仿宋_GB2312" w:hAnsi="仿宋_GB2312" w:eastAsia="仿宋_GB2312" w:cs="仿宋_GB2312"/>
          <w:sz w:val="32"/>
          <w:szCs w:val="40"/>
          <w:highlight w:val="none"/>
          <w:lang w:eastAsia="zh-CN"/>
        </w:rPr>
        <w:t>”</w:t>
      </w:r>
      <w:r>
        <w:rPr>
          <w:rFonts w:hint="eastAsia" w:ascii="仿宋_GB2312" w:hAnsi="仿宋_GB2312" w:eastAsia="仿宋_GB2312" w:cs="仿宋_GB2312"/>
          <w:sz w:val="32"/>
          <w:szCs w:val="40"/>
          <w:highlight w:val="none"/>
        </w:rPr>
        <w:t>。</w:t>
      </w:r>
    </w:p>
    <w:p w14:paraId="41E6B8A0">
      <w:pPr>
        <w:keepNext w:val="0"/>
        <w:keepLines w:val="0"/>
        <w:pageBreakBefore w:val="0"/>
        <w:widowControl w:val="0"/>
        <w:kinsoku/>
        <w:wordWrap/>
        <w:overflowPunct w:val="0"/>
        <w:topLinePunct w:val="0"/>
        <w:autoSpaceDN/>
        <w:bidi w:val="0"/>
        <w:adjustRightInd w:val="0"/>
        <w:snapToGrid w:val="0"/>
        <w:spacing w:line="560" w:lineRule="exact"/>
        <w:ind w:firstLine="640" w:firstLineChars="200"/>
        <w:textAlignment w:val="auto"/>
        <w:rPr>
          <w:rFonts w:hint="eastAsia" w:ascii="楷体_GB2312" w:hAnsi="楷体_GB2312" w:eastAsia="楷体_GB2312" w:cs="楷体_GB2312"/>
          <w:b/>
          <w:bCs/>
          <w:kern w:val="0"/>
          <w:sz w:val="32"/>
          <w:szCs w:val="32"/>
        </w:rPr>
      </w:pPr>
      <w:r>
        <w:rPr>
          <w:rFonts w:hint="eastAsia" w:ascii="黑体" w:hAnsi="黑体" w:eastAsia="黑体" w:cs="黑体"/>
          <w:kern w:val="0"/>
          <w:sz w:val="32"/>
          <w:szCs w:val="32"/>
          <w:shd w:val="clear" w:color="auto" w:fill="FFFFFF"/>
        </w:rPr>
        <w:t>四、改进和加强预算管理的主要措施</w:t>
      </w:r>
    </w:p>
    <w:p w14:paraId="61FEF396">
      <w:pPr>
        <w:keepNext w:val="0"/>
        <w:keepLines w:val="0"/>
        <w:pageBreakBefore w:val="0"/>
        <w:widowControl w:val="0"/>
        <w:kinsoku/>
        <w:wordWrap/>
        <w:overflowPunct/>
        <w:topLinePunct/>
        <w:autoSpaceDE w:val="0"/>
        <w:autoSpaceDN/>
        <w:bidi w:val="0"/>
        <w:adjustRightInd w:val="0"/>
        <w:snapToGrid w:val="0"/>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(一)推进财政科学管理。</w:t>
      </w:r>
      <w:r>
        <w:rPr>
          <w:rFonts w:hint="eastAsia" w:ascii="仿宋_GB2312" w:hAnsi="仿宋_GB2312" w:eastAsia="仿宋_GB2312" w:cs="仿宋_GB2312"/>
          <w:sz w:val="32"/>
          <w:szCs w:val="32"/>
        </w:rPr>
        <w:t>加强财政资源和预算统筹，深化零基预算改革，强化预算评审，打破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基数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赖，推动建立有保有压、可增可减、动态调整的预算分配机制。优化财政支出结构,区分轻重缓急，科学合理安排预算。扎实做好绩效运行监控、绩效评价等工作，完善结余资金收回使用、结转资金与预算安排挂钩机制，着力提升资金效益和政策效能。强力推进低效国有资产盘活处置，健全国有资产报告制度，提高国有资产管理水平。深入推进预算管理一体化建设</w:t>
      </w:r>
      <w:r>
        <w:rPr>
          <w:rFonts w:hint="eastAsia" w:ascii="仿宋_GB2312" w:hAnsi="仿宋_GB2312" w:eastAsia="仿宋_GB2312" w:cs="仿宋_GB2312"/>
          <w:sz w:val="32"/>
          <w:szCs w:val="32"/>
          <w:lang w:eastAsia="zh-CN"/>
        </w:rPr>
        <w:t>。</w:t>
      </w:r>
    </w:p>
    <w:p w14:paraId="192CB995">
      <w:pPr>
        <w:keepNext w:val="0"/>
        <w:keepLines w:val="0"/>
        <w:pageBreakBefore w:val="0"/>
        <w:widowControl w:val="0"/>
        <w:kinsoku/>
        <w:wordWrap/>
        <w:bidi w:val="0"/>
        <w:adjustRightInd w:val="0"/>
        <w:snapToGrid w:val="0"/>
        <w:spacing w:line="560" w:lineRule="exact"/>
        <w:ind w:firstLine="643" w:firstLineChars="200"/>
        <w:textAlignment w:val="auto"/>
        <w:rPr>
          <w:rFonts w:hint="eastAsia" w:ascii="仿宋_GB2312" w:hAnsi="仿宋_GB2312" w:eastAsia="仿宋_GB2312" w:cs="仿宋_GB2312"/>
          <w:kern w:val="0"/>
          <w:sz w:val="32"/>
          <w:szCs w:val="32"/>
        </w:rPr>
      </w:pPr>
      <w:r>
        <w:rPr>
          <w:rFonts w:hint="eastAsia" w:ascii="楷体_GB2312" w:hAnsi="楷体_GB2312" w:eastAsia="楷体_GB2312" w:cs="楷体_GB2312"/>
          <w:b/>
          <w:bCs/>
          <w:sz w:val="32"/>
          <w:szCs w:val="32"/>
        </w:rPr>
        <w:t>(二)</w:t>
      </w:r>
      <w:r>
        <w:rPr>
          <w:rFonts w:hint="eastAsia" w:ascii="楷体_GB2312" w:hAnsi="楷体_GB2312" w:eastAsia="楷体_GB2312" w:cs="楷体_GB2312"/>
          <w:b/>
          <w:bCs/>
          <w:kern w:val="0"/>
          <w:sz w:val="32"/>
          <w:szCs w:val="32"/>
        </w:rPr>
        <w:t>坚持</w:t>
      </w:r>
      <w:r>
        <w:rPr>
          <w:rFonts w:hint="eastAsia" w:ascii="楷体_GB2312" w:hAnsi="楷体_GB2312" w:eastAsia="楷体_GB2312" w:cs="楷体_GB2312"/>
          <w:b/>
          <w:bCs/>
          <w:sz w:val="32"/>
          <w:szCs w:val="32"/>
        </w:rPr>
        <w:t>落实</w:t>
      </w:r>
      <w:r>
        <w:rPr>
          <w:rFonts w:hint="eastAsia" w:ascii="楷体_GB2312" w:hAnsi="楷体_GB2312" w:eastAsia="楷体_GB2312" w:cs="楷体_GB2312"/>
          <w:b/>
          <w:bCs/>
          <w:kern w:val="0"/>
          <w:sz w:val="32"/>
          <w:szCs w:val="32"/>
        </w:rPr>
        <w:t>党政机关过紧日子</w:t>
      </w:r>
      <w:r>
        <w:rPr>
          <w:rFonts w:hint="eastAsia" w:ascii="楷体_GB2312" w:hAnsi="楷体_GB2312" w:eastAsia="楷体_GB2312" w:cs="楷体_GB2312"/>
          <w:b/>
          <w:bCs/>
          <w:sz w:val="32"/>
          <w:szCs w:val="32"/>
        </w:rPr>
        <w:t>要求</w:t>
      </w:r>
      <w:r>
        <w:rPr>
          <w:rFonts w:hint="eastAsia" w:ascii="楷体_GB2312" w:hAnsi="楷体_GB2312" w:eastAsia="楷体_GB2312" w:cs="楷体_GB2312"/>
          <w:b/>
          <w:bCs/>
          <w:kern w:val="0"/>
          <w:sz w:val="32"/>
          <w:szCs w:val="32"/>
        </w:rPr>
        <w:t>。</w:t>
      </w:r>
      <w:r>
        <w:rPr>
          <w:rFonts w:hint="eastAsia" w:ascii="仿宋_GB2312" w:hAnsi="仿宋_GB2312" w:eastAsia="仿宋_GB2312" w:cs="仿宋_GB2312"/>
          <w:sz w:val="32"/>
          <w:szCs w:val="32"/>
        </w:rPr>
        <w:t>坚持把党政机关过紧日子作为习惯和常态，做到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小钱小气、大钱大方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，把能省的钱都省下来，腾出更多财政资源用于发展经济、改善民生。从严控制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经费以及会议费、培训费、差旅费、办公经费等支出，精简</w:t>
      </w:r>
      <w:r>
        <w:rPr>
          <w:rFonts w:hint="eastAsia" w:ascii="仿宋_GB2312" w:hAnsi="仿宋_GB2312" w:eastAsia="仿宋_GB2312" w:cs="仿宋_GB2312"/>
          <w:sz w:val="32"/>
          <w:szCs w:val="32"/>
          <w:lang w:eastAsia="zh-CN"/>
        </w:rPr>
        <w:t>压缩</w:t>
      </w:r>
      <w:r>
        <w:rPr>
          <w:rFonts w:hint="eastAsia" w:ascii="仿宋_GB2312" w:hAnsi="仿宋_GB2312" w:eastAsia="仿宋_GB2312" w:cs="仿宋_GB2312"/>
          <w:sz w:val="32"/>
          <w:szCs w:val="32"/>
        </w:rPr>
        <w:t>节庆、展会等活动</w:t>
      </w:r>
      <w:r>
        <w:rPr>
          <w:rFonts w:hint="eastAsia" w:ascii="仿宋_GB2312" w:hAnsi="仿宋_GB2312" w:eastAsia="仿宋_GB2312" w:cs="仿宋_GB2312"/>
          <w:sz w:val="32"/>
          <w:szCs w:val="32"/>
          <w:lang w:eastAsia="zh-CN"/>
        </w:rPr>
        <w:t>支出</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rPr>
        <w:t>优先运用行政事业单位国有资产调剂共享平台，通过调剂方式配置资产，节约购置经费</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rPr>
        <w:t>深化公物仓建设，提升资产共享效能。扩大公物仓覆盖范围，坚持“调剂优先”原则，能通过调剂解决的坚决不新增购置，切实降低财政支出。提升公物仓运营效益，对长期闲置、难以内部调剂的资产，委托专业机构评估定价，通过公开出租、竞价处置等方式盘活，实现“收得进、管得好、用得活、收益优”。</w:t>
      </w:r>
    </w:p>
    <w:p w14:paraId="45D872D3">
      <w:pPr>
        <w:keepNext w:val="0"/>
        <w:keepLines w:val="0"/>
        <w:pageBreakBefore w:val="0"/>
        <w:widowControl w:val="0"/>
        <w:kinsoku/>
        <w:wordWrap/>
        <w:overflowPunct/>
        <w:topLinePunct/>
        <w:autoSpaceDE w:val="0"/>
        <w:autoSpaceDN/>
        <w:bidi w:val="0"/>
        <w:adjustRightInd w:val="0"/>
        <w:snapToGrid w:val="0"/>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kern w:val="0"/>
          <w:sz w:val="32"/>
          <w:szCs w:val="32"/>
        </w:rPr>
        <w:t>(</w:t>
      </w:r>
      <w:r>
        <w:rPr>
          <w:rFonts w:hint="eastAsia" w:ascii="楷体_GB2312" w:hAnsi="楷体_GB2312" w:eastAsia="楷体_GB2312" w:cs="楷体_GB2312"/>
          <w:b/>
          <w:bCs/>
          <w:kern w:val="0"/>
          <w:sz w:val="32"/>
          <w:szCs w:val="32"/>
          <w:lang w:val="en-US" w:eastAsia="zh-CN"/>
        </w:rPr>
        <w:t>三</w:t>
      </w:r>
      <w:r>
        <w:rPr>
          <w:rFonts w:hint="eastAsia" w:ascii="楷体_GB2312" w:hAnsi="楷体_GB2312" w:eastAsia="楷体_GB2312" w:cs="楷体_GB2312"/>
          <w:b/>
          <w:bCs/>
          <w:kern w:val="0"/>
          <w:sz w:val="32"/>
          <w:szCs w:val="32"/>
        </w:rPr>
        <w:t>)兜牢基层“三保”底线。</w:t>
      </w:r>
      <w:r>
        <w:rPr>
          <w:rFonts w:hint="eastAsia" w:ascii="仿宋_GB2312" w:hAnsi="仿宋_GB2312" w:eastAsia="仿宋_GB2312" w:cs="仿宋_GB2312"/>
          <w:b w:val="0"/>
          <w:bCs w:val="0"/>
          <w:kern w:val="0"/>
          <w:sz w:val="32"/>
          <w:szCs w:val="32"/>
        </w:rPr>
        <w:t>坚持“三保”支出在预算编列中的优先顺序，确保“三保”支出预算足额安排。</w:t>
      </w:r>
      <w:r>
        <w:rPr>
          <w:rFonts w:hint="eastAsia" w:ascii="仿宋_GB2312" w:hAnsi="仿宋_GB2312" w:eastAsia="仿宋_GB2312" w:cs="仿宋_GB2312"/>
          <w:b w:val="0"/>
          <w:bCs w:val="0"/>
          <w:kern w:val="0"/>
          <w:sz w:val="32"/>
          <w:szCs w:val="32"/>
          <w:lang w:val="en-US" w:eastAsia="zh-CN"/>
        </w:rPr>
        <w:t>建立</w:t>
      </w:r>
      <w:r>
        <w:rPr>
          <w:rFonts w:hint="eastAsia" w:ascii="仿宋_GB2312" w:hAnsi="仿宋_GB2312" w:eastAsia="仿宋_GB2312" w:cs="仿宋_GB2312"/>
          <w:b w:val="0"/>
          <w:bCs w:val="0"/>
          <w:kern w:val="0"/>
          <w:sz w:val="32"/>
          <w:szCs w:val="32"/>
        </w:rPr>
        <w:t>完善</w:t>
      </w:r>
      <w:r>
        <w:rPr>
          <w:rFonts w:hint="eastAsia" w:ascii="仿宋_GB2312" w:hAnsi="仿宋_GB2312" w:eastAsia="仿宋_GB2312" w:cs="仿宋_GB2312"/>
          <w:b w:val="0"/>
          <w:bCs w:val="0"/>
          <w:kern w:val="0"/>
          <w:sz w:val="32"/>
          <w:szCs w:val="32"/>
          <w:lang w:val="en-US" w:eastAsia="zh-CN"/>
        </w:rPr>
        <w:t>“三保”预算执行动态监控和应急处置机制，</w:t>
      </w:r>
      <w:r>
        <w:rPr>
          <w:rFonts w:hint="eastAsia" w:ascii="仿宋_GB2312" w:hAnsi="仿宋_GB2312" w:eastAsia="仿宋_GB2312" w:cs="仿宋_GB2312"/>
          <w:b w:val="0"/>
          <w:bCs w:val="0"/>
          <w:kern w:val="0"/>
          <w:sz w:val="32"/>
          <w:szCs w:val="32"/>
        </w:rPr>
        <w:t>及时防范化解“三保”风险</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sz w:val="32"/>
          <w:szCs w:val="32"/>
        </w:rPr>
        <w:t>严格落实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三保</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标识管理和月度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三保</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支出管理，加强预算执行管控和库款调度，确保基层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三保</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不破防。</w:t>
      </w:r>
    </w:p>
    <w:p w14:paraId="5CC9A243">
      <w:pPr>
        <w:keepNext w:val="0"/>
        <w:keepLines w:val="0"/>
        <w:pageBreakBefore w:val="0"/>
        <w:widowControl w:val="0"/>
        <w:kinsoku/>
        <w:wordWrap/>
        <w:overflowPunct/>
        <w:topLinePunct/>
        <w:autoSpaceDE w:val="0"/>
        <w:autoSpaceDN/>
        <w:bidi w:val="0"/>
        <w:adjustRightInd w:val="0"/>
        <w:snapToGrid w:val="0"/>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val="en-US" w:eastAsia="zh-CN"/>
        </w:rPr>
        <w:t>四</w:t>
      </w:r>
      <w:r>
        <w:rPr>
          <w:rFonts w:hint="eastAsia" w:ascii="楷体_GB2312" w:hAnsi="楷体_GB2312" w:eastAsia="楷体_GB2312" w:cs="楷体_GB2312"/>
          <w:b/>
          <w:bCs/>
          <w:sz w:val="32"/>
          <w:szCs w:val="32"/>
        </w:rPr>
        <w:t>)坚持民生为大做实民生财政。</w:t>
      </w:r>
      <w:r>
        <w:rPr>
          <w:rFonts w:hint="eastAsia" w:ascii="仿宋_GB2312" w:hAnsi="仿宋_GB2312" w:eastAsia="仿宋_GB2312" w:cs="仿宋_GB2312"/>
          <w:sz w:val="32"/>
          <w:szCs w:val="32"/>
        </w:rPr>
        <w:t>坚持财政政策民生导向,强化基本民生财力保障，继续保持民生支出在一般公共预算支出中的大头地位，持续完善教育、卫生健康、社保、就业等重点民生领域支持政策，推动更多资金资源投资于人、服务民生。强化对新出台重大政策、项目事前绩效评估，围绕民生大事难事急事精准发力，确保民生支出与经济发展相协调、与财力状况相匹配，确保民生改善更加稳固、更可持续。</w:t>
      </w:r>
    </w:p>
    <w:p w14:paraId="7CD779CB">
      <w:pPr>
        <w:keepNext w:val="0"/>
        <w:keepLines w:val="0"/>
        <w:pageBreakBefore w:val="0"/>
        <w:widowControl w:val="0"/>
        <w:kinsoku/>
        <w:wordWrap/>
        <w:overflowPunct w:val="0"/>
        <w:topLinePunct w:val="0"/>
        <w:autoSpaceDE/>
        <w:autoSpaceDN/>
        <w:bidi w:val="0"/>
        <w:adjustRightInd w:val="0"/>
        <w:snapToGrid w:val="0"/>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val="en-US" w:eastAsia="zh-CN"/>
        </w:rPr>
        <w:t>五</w:t>
      </w:r>
      <w:r>
        <w:rPr>
          <w:rFonts w:hint="eastAsia" w:ascii="楷体_GB2312" w:hAnsi="楷体_GB2312" w:eastAsia="楷体_GB2312" w:cs="楷体_GB2312"/>
          <w:b/>
          <w:bCs/>
          <w:sz w:val="32"/>
          <w:szCs w:val="32"/>
        </w:rPr>
        <w:t>)加强地方政府债务管理。</w:t>
      </w:r>
      <w:r>
        <w:rPr>
          <w:rFonts w:hint="eastAsia" w:ascii="仿宋_GB2312" w:hAnsi="仿宋_GB2312" w:eastAsia="仿宋_GB2312" w:cs="仿宋_GB2312"/>
          <w:b w:val="0"/>
          <w:bCs w:val="0"/>
          <w:kern w:val="0"/>
          <w:sz w:val="32"/>
          <w:szCs w:val="32"/>
        </w:rPr>
        <w:t>加强地方政府法定债务“借、 用、管、还”全生命周期管理，压实主管部门和项目单位主体责任，完善项目储备、申报和审核机制，做好地方政府债券发行使用工作</w:t>
      </w:r>
      <w:r>
        <w:rPr>
          <w:rFonts w:hint="eastAsia" w:ascii="仿宋_GB2312" w:hAnsi="仿宋_GB2312" w:eastAsia="仿宋_GB2312" w:cs="仿宋_GB2312"/>
          <w:b w:val="0"/>
          <w:bCs w:val="0"/>
          <w:kern w:val="0"/>
          <w:sz w:val="32"/>
          <w:szCs w:val="32"/>
          <w:lang w:eastAsia="zh-CN"/>
        </w:rPr>
        <w:t>。</w:t>
      </w:r>
      <w:r>
        <w:rPr>
          <w:rFonts w:hint="eastAsia" w:ascii="仿宋_GB2312" w:hAnsi="仿宋_GB2312" w:eastAsia="仿宋_GB2312" w:cs="仿宋_GB2312"/>
          <w:b w:val="0"/>
          <w:bCs w:val="0"/>
          <w:kern w:val="0"/>
          <w:sz w:val="32"/>
          <w:szCs w:val="32"/>
        </w:rPr>
        <w:t>主动化债，</w:t>
      </w:r>
      <w:r>
        <w:rPr>
          <w:rFonts w:hint="eastAsia" w:ascii="仿宋_GB2312" w:hAnsi="仿宋_GB2312" w:eastAsia="仿宋_GB2312" w:cs="仿宋_GB2312"/>
          <w:sz w:val="32"/>
          <w:szCs w:val="32"/>
        </w:rPr>
        <w:t>通过安排财政资金、压减支出、盘活存量资产资源等方式逐步化解风险，在债务化解过程中找到新的发展路径。</w:t>
      </w:r>
      <w:r>
        <w:rPr>
          <w:rFonts w:hint="eastAsia" w:ascii="仿宋_GB2312" w:hAnsi="仿宋_GB2312" w:eastAsia="仿宋_GB2312" w:cs="仿宋_GB2312"/>
          <w:sz w:val="32"/>
          <w:szCs w:val="32"/>
          <w:lang w:val="en-US" w:eastAsia="zh-CN"/>
        </w:rPr>
        <w:t>同时，</w:t>
      </w:r>
      <w:r>
        <w:rPr>
          <w:rFonts w:hint="eastAsia" w:ascii="仿宋_GB2312" w:hAnsi="仿宋_GB2312" w:eastAsia="仿宋_GB2312" w:cs="仿宋_GB2312"/>
          <w:b w:val="0"/>
          <w:bCs w:val="0"/>
          <w:kern w:val="0"/>
          <w:sz w:val="32"/>
          <w:szCs w:val="32"/>
        </w:rPr>
        <w:t xml:space="preserve">确保按期完成存量隐性债务化解目标任务，切实防范化解地方政府隐性债务风险。加快推动地方政府融资平台改革转型。 </w:t>
      </w:r>
    </w:p>
    <w:p w14:paraId="7B51AEF8">
      <w:pPr>
        <w:keepNext w:val="0"/>
        <w:keepLines w:val="0"/>
        <w:pageBreakBefore w:val="0"/>
        <w:widowControl w:val="0"/>
        <w:kinsoku/>
        <w:wordWrap/>
        <w:overflowPunct w:val="0"/>
        <w:topLinePunct w:val="0"/>
        <w:autoSpaceDN/>
        <w:bidi w:val="0"/>
        <w:adjustRightInd w:val="0"/>
        <w:snapToGrid w:val="0"/>
        <w:spacing w:line="560" w:lineRule="exact"/>
        <w:ind w:firstLine="643" w:firstLineChars="200"/>
        <w:textAlignment w:val="auto"/>
        <w:rPr>
          <w:rFonts w:hint="eastAsia" w:ascii="楷体_GB2312" w:hAnsi="楷体_GB2312" w:eastAsia="仿宋_GB2312" w:cs="楷体_GB2312"/>
          <w:b/>
          <w:bCs/>
          <w:kern w:val="0"/>
          <w:sz w:val="32"/>
          <w:szCs w:val="32"/>
          <w:lang w:eastAsia="zh-CN"/>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val="en-US" w:eastAsia="zh-CN"/>
        </w:rPr>
        <w:t>六</w:t>
      </w: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eastAsia="zh-CN"/>
        </w:rPr>
        <w:t>进一步</w:t>
      </w:r>
      <w:r>
        <w:rPr>
          <w:rFonts w:hint="eastAsia" w:ascii="楷体_GB2312" w:hAnsi="楷体_GB2312" w:eastAsia="楷体_GB2312" w:cs="楷体_GB2312"/>
          <w:b/>
          <w:bCs/>
          <w:sz w:val="32"/>
          <w:szCs w:val="32"/>
        </w:rPr>
        <w:t>严肃财经纪律。</w:t>
      </w:r>
      <w:r>
        <w:rPr>
          <w:rFonts w:hint="eastAsia" w:ascii="仿宋_GB2312" w:hAnsi="仿宋_GB2312" w:eastAsia="仿宋_GB2312" w:cs="仿宋_GB2312"/>
          <w:sz w:val="32"/>
          <w:szCs w:val="32"/>
        </w:rPr>
        <w:t>加大财会监督力度，突出对财税政策执行和财政资金使用管理的监管。依法依规组织财政收入，严禁征收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过头税费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、虚增收入等违法违规行为，坚决纠治乱收费、乱罚款、乱摊派问题。加强预算执行约束，强化常态化监督,严格控制预算调剂,严禁超预算、无预算安排支出或开展政府采购，加快</w:t>
      </w:r>
      <w:r>
        <w:rPr>
          <w:rFonts w:hint="eastAsia" w:ascii="仿宋_GB2312" w:hAnsi="仿宋_GB2312" w:eastAsia="仿宋_GB2312" w:cs="仿宋_GB2312"/>
          <w:b w:val="0"/>
          <w:bCs w:val="0"/>
          <w:kern w:val="0"/>
          <w:sz w:val="32"/>
          <w:szCs w:val="32"/>
        </w:rPr>
        <w:t>清理政府拖欠企业账款，</w:t>
      </w:r>
      <w:r>
        <w:rPr>
          <w:rFonts w:hint="eastAsia" w:ascii="仿宋_GB2312" w:hAnsi="仿宋_GB2312" w:eastAsia="仿宋_GB2312" w:cs="仿宋_GB2312"/>
          <w:sz w:val="32"/>
          <w:szCs w:val="32"/>
        </w:rPr>
        <w:t>清理消化暂付款</w:t>
      </w:r>
      <w:r>
        <w:rPr>
          <w:rFonts w:hint="eastAsia" w:ascii="仿宋_GB2312" w:hAnsi="仿宋_GB2312" w:eastAsia="仿宋_GB2312" w:cs="仿宋_GB2312"/>
          <w:b w:val="0"/>
          <w:bCs w:val="0"/>
          <w:kern w:val="0"/>
          <w:sz w:val="32"/>
          <w:szCs w:val="32"/>
        </w:rPr>
        <w:t>。</w:t>
      </w:r>
      <w:r>
        <w:rPr>
          <w:rFonts w:hint="eastAsia" w:ascii="仿宋_GB2312" w:hAnsi="仿宋_GB2312" w:eastAsia="仿宋_GB2312" w:cs="仿宋_GB2312"/>
          <w:sz w:val="32"/>
          <w:szCs w:val="32"/>
        </w:rPr>
        <w:t>严禁建设政绩工程、形象工程</w:t>
      </w:r>
      <w:r>
        <w:rPr>
          <w:rFonts w:hint="eastAsia" w:ascii="仿宋_GB2312" w:hAnsi="仿宋_GB2312" w:eastAsia="仿宋_GB2312" w:cs="仿宋_GB2312"/>
          <w:sz w:val="32"/>
          <w:szCs w:val="32"/>
          <w:lang w:eastAsia="zh-CN"/>
        </w:rPr>
        <w:t>。</w:t>
      </w:r>
    </w:p>
    <w:p w14:paraId="2334CEFF">
      <w:pPr>
        <w:keepNext w:val="0"/>
        <w:keepLines w:val="0"/>
        <w:pageBreakBefore w:val="0"/>
        <w:widowControl w:val="0"/>
        <w:kinsoku/>
        <w:wordWrap/>
        <w:overflowPunct w:val="0"/>
        <w:topLinePunct w:val="0"/>
        <w:autoSpaceDN/>
        <w:bidi w:val="0"/>
        <w:adjustRightInd w:val="0"/>
        <w:snapToGrid w:val="0"/>
        <w:spacing w:line="560" w:lineRule="exact"/>
        <w:ind w:firstLine="640" w:firstLineChars="200"/>
        <w:textAlignment w:val="auto"/>
        <w:rPr>
          <w:rFonts w:hint="eastAsia" w:ascii="仿宋" w:hAnsi="仿宋" w:eastAsia="仿宋" w:cs="仿宋"/>
          <w:sz w:val="32"/>
          <w:szCs w:val="32"/>
          <w:highlight w:val="none"/>
        </w:rPr>
      </w:pPr>
      <w:r>
        <w:rPr>
          <w:rFonts w:hint="eastAsia" w:ascii="仿宋_GB2312" w:hAnsi="仿宋_GB2312" w:eastAsia="仿宋_GB2312" w:cs="仿宋_GB2312"/>
          <w:kern w:val="0"/>
          <w:sz w:val="32"/>
          <w:szCs w:val="32"/>
          <w:highlight w:val="none"/>
        </w:rPr>
        <w:t>各位代表，做好202</w:t>
      </w:r>
      <w:r>
        <w:rPr>
          <w:rFonts w:hint="eastAsia" w:ascii="仿宋_GB2312" w:hAnsi="仿宋_GB2312" w:eastAsia="仿宋_GB2312" w:cs="仿宋_GB2312"/>
          <w:kern w:val="0"/>
          <w:sz w:val="32"/>
          <w:szCs w:val="32"/>
          <w:highlight w:val="none"/>
          <w:lang w:val="en-US" w:eastAsia="zh-CN"/>
        </w:rPr>
        <w:t>6</w:t>
      </w:r>
      <w:r>
        <w:rPr>
          <w:rFonts w:hint="eastAsia" w:ascii="仿宋_GB2312" w:hAnsi="仿宋_GB2312" w:eastAsia="仿宋_GB2312" w:cs="仿宋_GB2312"/>
          <w:kern w:val="0"/>
          <w:sz w:val="32"/>
          <w:szCs w:val="32"/>
          <w:highlight w:val="none"/>
        </w:rPr>
        <w:t>年财政工作意义重大、任务艰巨。我们将坚持以习近平新时代中国特色社会主义思想为指导，在县委坚强领导和县人大、县政协监督指导下，以永不懈怠的精神状态和一往无前的奋斗姿态</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推动财政改革发展再上新台阶，为奋力谱写</w:t>
      </w:r>
      <w:r>
        <w:rPr>
          <w:rFonts w:hint="eastAsia" w:ascii="仿宋_GB2312" w:hAnsi="仿宋_GB2312" w:eastAsia="仿宋_GB2312"/>
          <w:bCs/>
          <w:sz w:val="32"/>
          <w:szCs w:val="32"/>
          <w:highlight w:val="none"/>
        </w:rPr>
        <w:t>全县经济社会高质量发展的崭新篇章</w:t>
      </w:r>
      <w:r>
        <w:rPr>
          <w:rFonts w:hint="eastAsia" w:ascii="仿宋_GB2312" w:hAnsi="仿宋_GB2312" w:eastAsia="仿宋_GB2312" w:cs="仿宋_GB2312"/>
          <w:kern w:val="0"/>
          <w:sz w:val="32"/>
          <w:szCs w:val="32"/>
          <w:highlight w:val="none"/>
        </w:rPr>
        <w:t>作出财政新的更大贡献!</w:t>
      </w:r>
    </w:p>
    <w:p w14:paraId="2CC56159">
      <w:pPr>
        <w:keepNext w:val="0"/>
        <w:keepLines w:val="0"/>
        <w:pageBreakBefore w:val="0"/>
        <w:widowControl w:val="0"/>
        <w:kinsoku/>
        <w:wordWrap/>
        <w:overflowPunct w:val="0"/>
        <w:topLinePunct w:val="0"/>
        <w:autoSpaceDN/>
        <w:bidi w:val="0"/>
        <w:adjustRightInd w:val="0"/>
        <w:snapToGrid w:val="0"/>
        <w:spacing w:line="540" w:lineRule="exact"/>
        <w:textAlignment w:val="auto"/>
        <w:rPr>
          <w:rFonts w:hint="eastAsia" w:ascii="仿宋" w:hAnsi="仿宋" w:eastAsia="仿宋" w:cs="仿宋"/>
          <w:sz w:val="32"/>
          <w:szCs w:val="32"/>
          <w:highlight w:val="none"/>
        </w:rPr>
      </w:pPr>
    </w:p>
    <w:p w14:paraId="5F0D1348">
      <w:pPr>
        <w:keepNext w:val="0"/>
        <w:keepLines w:val="0"/>
        <w:pageBreakBefore w:val="0"/>
        <w:widowControl w:val="0"/>
        <w:kinsoku/>
        <w:wordWrap/>
        <w:overflowPunct w:val="0"/>
        <w:topLinePunct w:val="0"/>
        <w:autoSpaceDN/>
        <w:bidi w:val="0"/>
        <w:adjustRightInd w:val="0"/>
        <w:snapToGrid w:val="0"/>
        <w:spacing w:line="540" w:lineRule="exact"/>
        <w:textAlignment w:val="auto"/>
        <w:rPr>
          <w:rFonts w:hint="eastAsia" w:ascii="仿宋" w:hAnsi="仿宋" w:eastAsia="仿宋" w:cs="仿宋"/>
          <w:sz w:val="32"/>
          <w:szCs w:val="32"/>
          <w:highlight w:val="none"/>
        </w:rPr>
      </w:pPr>
    </w:p>
    <w:p w14:paraId="71E08926">
      <w:pPr>
        <w:keepNext w:val="0"/>
        <w:keepLines w:val="0"/>
        <w:pageBreakBefore w:val="0"/>
        <w:widowControl w:val="0"/>
        <w:kinsoku/>
        <w:wordWrap/>
        <w:overflowPunct w:val="0"/>
        <w:topLinePunct w:val="0"/>
        <w:autoSpaceDN/>
        <w:bidi w:val="0"/>
        <w:adjustRightInd w:val="0"/>
        <w:snapToGrid w:val="0"/>
        <w:spacing w:line="540" w:lineRule="exact"/>
        <w:textAlignment w:val="auto"/>
        <w:rPr>
          <w:rFonts w:hint="eastAsia" w:ascii="仿宋" w:hAnsi="仿宋" w:eastAsia="仿宋" w:cs="仿宋"/>
          <w:sz w:val="32"/>
          <w:szCs w:val="32"/>
          <w:highlight w:val="none"/>
        </w:rPr>
      </w:pPr>
    </w:p>
    <w:p w14:paraId="7A6CEC70">
      <w:pPr>
        <w:keepNext w:val="0"/>
        <w:keepLines w:val="0"/>
        <w:pageBreakBefore w:val="0"/>
        <w:widowControl w:val="0"/>
        <w:kinsoku/>
        <w:wordWrap/>
        <w:overflowPunct w:val="0"/>
        <w:topLinePunct w:val="0"/>
        <w:autoSpaceDN/>
        <w:bidi w:val="0"/>
        <w:adjustRightInd w:val="0"/>
        <w:snapToGrid w:val="0"/>
        <w:spacing w:line="540" w:lineRule="exact"/>
        <w:textAlignment w:val="auto"/>
        <w:rPr>
          <w:rFonts w:hint="eastAsia" w:ascii="仿宋" w:hAnsi="仿宋" w:eastAsia="仿宋" w:cs="仿宋"/>
          <w:sz w:val="32"/>
          <w:szCs w:val="32"/>
          <w:highlight w:val="none"/>
        </w:rPr>
      </w:pPr>
    </w:p>
    <w:p w14:paraId="6DF65433">
      <w:pPr>
        <w:keepNext w:val="0"/>
        <w:keepLines w:val="0"/>
        <w:pageBreakBefore w:val="0"/>
        <w:widowControl w:val="0"/>
        <w:kinsoku/>
        <w:wordWrap/>
        <w:overflowPunct w:val="0"/>
        <w:topLinePunct w:val="0"/>
        <w:autoSpaceDN/>
        <w:bidi w:val="0"/>
        <w:adjustRightInd w:val="0"/>
        <w:snapToGrid w:val="0"/>
        <w:spacing w:line="540" w:lineRule="exact"/>
        <w:textAlignment w:val="auto"/>
        <w:rPr>
          <w:rFonts w:hint="eastAsia" w:ascii="仿宋" w:hAnsi="仿宋" w:eastAsia="仿宋" w:cs="仿宋"/>
          <w:sz w:val="32"/>
          <w:szCs w:val="32"/>
          <w:highlight w:val="none"/>
        </w:rPr>
      </w:pPr>
    </w:p>
    <w:p w14:paraId="2904E9C0">
      <w:pPr>
        <w:keepNext w:val="0"/>
        <w:keepLines w:val="0"/>
        <w:pageBreakBefore w:val="0"/>
        <w:widowControl w:val="0"/>
        <w:kinsoku/>
        <w:wordWrap/>
        <w:overflowPunct w:val="0"/>
        <w:topLinePunct w:val="0"/>
        <w:autoSpaceDN/>
        <w:bidi w:val="0"/>
        <w:adjustRightInd w:val="0"/>
        <w:snapToGrid w:val="0"/>
        <w:spacing w:line="540" w:lineRule="exact"/>
        <w:textAlignment w:val="auto"/>
        <w:rPr>
          <w:rFonts w:hint="eastAsia" w:ascii="仿宋" w:hAnsi="仿宋" w:eastAsia="仿宋" w:cs="仿宋"/>
          <w:sz w:val="32"/>
          <w:szCs w:val="32"/>
          <w:highlight w:val="none"/>
        </w:rPr>
      </w:pPr>
    </w:p>
    <w:p w14:paraId="1480BF86">
      <w:pPr>
        <w:pStyle w:val="2"/>
        <w:ind w:left="0" w:leftChars="0" w:firstLine="0" w:firstLineChars="0"/>
        <w:rPr>
          <w:rFonts w:hint="eastAsia" w:ascii="仿宋" w:hAnsi="仿宋" w:eastAsia="仿宋" w:cs="仿宋"/>
          <w:sz w:val="32"/>
          <w:szCs w:val="32"/>
          <w:highlight w:val="none"/>
        </w:rPr>
      </w:pPr>
    </w:p>
    <w:p w14:paraId="286A3B24">
      <w:pPr>
        <w:keepNext w:val="0"/>
        <w:keepLines w:val="0"/>
        <w:pageBreakBefore w:val="0"/>
        <w:widowControl w:val="0"/>
        <w:kinsoku/>
        <w:wordWrap/>
        <w:overflowPunct w:val="0"/>
        <w:topLinePunct w:val="0"/>
        <w:autoSpaceDN/>
        <w:bidi w:val="0"/>
        <w:adjustRightInd w:val="0"/>
        <w:snapToGrid w:val="0"/>
        <w:spacing w:line="540" w:lineRule="exact"/>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附表一</w:t>
      </w:r>
    </w:p>
    <w:p w14:paraId="29BA81A1">
      <w:pPr>
        <w:pStyle w:val="8"/>
        <w:keepNext w:val="0"/>
        <w:keepLines w:val="0"/>
        <w:pageBreakBefore w:val="0"/>
        <w:widowControl w:val="0"/>
        <w:kinsoku/>
        <w:wordWrap/>
        <w:topLinePunct w:val="0"/>
        <w:autoSpaceDE/>
        <w:autoSpaceDN/>
        <w:bidi w:val="0"/>
        <w:adjustRightInd w:val="0"/>
        <w:snapToGrid w:val="0"/>
        <w:spacing w:after="0" w:line="560" w:lineRule="exact"/>
        <w:jc w:val="center"/>
        <w:textAlignment w:val="auto"/>
        <w:rPr>
          <w:rFonts w:hint="eastAsia" w:ascii="黑体" w:hAnsi="黑体" w:eastAsia="黑体" w:cs="黑体"/>
          <w:bCs/>
          <w:sz w:val="40"/>
          <w:szCs w:val="40"/>
          <w:highlight w:val="none"/>
          <w:lang w:eastAsia="zh-CN"/>
        </w:rPr>
      </w:pPr>
      <w:r>
        <w:rPr>
          <w:rFonts w:hint="eastAsia" w:ascii="黑体" w:hAnsi="黑体" w:eastAsia="黑体" w:cs="黑体"/>
          <w:bCs/>
          <w:sz w:val="40"/>
          <w:szCs w:val="40"/>
          <w:highlight w:val="none"/>
        </w:rPr>
        <w:t>西峡县202</w:t>
      </w:r>
      <w:r>
        <w:rPr>
          <w:rFonts w:hint="eastAsia" w:ascii="黑体" w:hAnsi="黑体" w:eastAsia="黑体" w:cs="黑体"/>
          <w:bCs/>
          <w:sz w:val="40"/>
          <w:szCs w:val="40"/>
          <w:highlight w:val="none"/>
          <w:lang w:val="en-US" w:eastAsia="zh-CN"/>
        </w:rPr>
        <w:t>5</w:t>
      </w:r>
      <w:r>
        <w:rPr>
          <w:rFonts w:hint="eastAsia" w:ascii="黑体" w:hAnsi="黑体" w:eastAsia="黑体" w:cs="黑体"/>
          <w:bCs/>
          <w:sz w:val="40"/>
          <w:szCs w:val="40"/>
          <w:highlight w:val="none"/>
        </w:rPr>
        <w:t>年一般公共预算收支决算总表</w:t>
      </w:r>
      <w:r>
        <w:rPr>
          <w:rFonts w:hint="eastAsia" w:ascii="黑体" w:hAnsi="黑体" w:eastAsia="黑体" w:cs="黑体"/>
          <w:bCs/>
          <w:sz w:val="40"/>
          <w:szCs w:val="40"/>
          <w:highlight w:val="none"/>
          <w:lang w:eastAsia="zh-CN"/>
        </w:rPr>
        <w:t>（草案）</w:t>
      </w:r>
    </w:p>
    <w:p w14:paraId="521F4E45">
      <w:pPr>
        <w:pStyle w:val="8"/>
        <w:keepNext w:val="0"/>
        <w:keepLines w:val="0"/>
        <w:pageBreakBefore w:val="0"/>
        <w:widowControl w:val="0"/>
        <w:kinsoku/>
        <w:wordWrap/>
        <w:topLinePunct w:val="0"/>
        <w:autoSpaceDE/>
        <w:autoSpaceDN/>
        <w:bidi w:val="0"/>
        <w:adjustRightInd w:val="0"/>
        <w:snapToGrid w:val="0"/>
        <w:spacing w:after="0" w:line="560" w:lineRule="exact"/>
        <w:jc w:val="center"/>
        <w:textAlignment w:val="auto"/>
        <w:rPr>
          <w:rFonts w:ascii="仿宋" w:hAnsi="仿宋" w:eastAsia="仿宋" w:cs="仿宋"/>
          <w:sz w:val="32"/>
          <w:szCs w:val="32"/>
        </w:rPr>
      </w:pPr>
      <w:r>
        <w:rPr>
          <w:rFonts w:hint="eastAsia" w:ascii="仿宋" w:hAnsi="仿宋" w:eastAsia="仿宋" w:cs="仿宋"/>
          <w:sz w:val="32"/>
          <w:szCs w:val="32"/>
        </w:rPr>
        <w:t xml:space="preserve">                                          单位:万元</w:t>
      </w:r>
    </w:p>
    <w:tbl>
      <w:tblPr>
        <w:tblStyle w:val="13"/>
        <w:tblW w:w="8978" w:type="dxa"/>
        <w:tblInd w:w="-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3223"/>
        <w:gridCol w:w="997"/>
        <w:gridCol w:w="2764"/>
        <w:gridCol w:w="1206"/>
      </w:tblGrid>
      <w:tr w14:paraId="6E136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788" w:type="dxa"/>
            <w:noWrap/>
            <w:vAlign w:val="center"/>
          </w:tcPr>
          <w:p w14:paraId="6C94FEAE">
            <w:pPr>
              <w:adjustRightInd w:val="0"/>
              <w:snapToGrid w:val="0"/>
              <w:jc w:val="center"/>
              <w:rPr>
                <w:rFonts w:hint="eastAsia" w:ascii="黑体" w:hAnsi="黑体" w:eastAsia="黑体" w:cs="黑体"/>
                <w:bCs/>
                <w:sz w:val="24"/>
              </w:rPr>
            </w:pPr>
            <w:r>
              <w:rPr>
                <w:rFonts w:hint="eastAsia" w:ascii="黑体" w:hAnsi="黑体" w:eastAsia="黑体" w:cs="黑体"/>
                <w:bCs/>
                <w:sz w:val="24"/>
              </w:rPr>
              <w:t>序号</w:t>
            </w:r>
          </w:p>
        </w:tc>
        <w:tc>
          <w:tcPr>
            <w:tcW w:w="4220" w:type="dxa"/>
            <w:gridSpan w:val="2"/>
            <w:noWrap/>
            <w:vAlign w:val="center"/>
          </w:tcPr>
          <w:p w14:paraId="2FE101A7">
            <w:pPr>
              <w:adjustRightInd w:val="0"/>
              <w:snapToGrid w:val="0"/>
              <w:jc w:val="center"/>
              <w:rPr>
                <w:rFonts w:hint="eastAsia" w:ascii="黑体" w:hAnsi="黑体" w:eastAsia="黑体" w:cs="黑体"/>
                <w:bCs/>
                <w:sz w:val="24"/>
              </w:rPr>
            </w:pPr>
            <w:r>
              <w:rPr>
                <w:rFonts w:hint="eastAsia" w:ascii="黑体" w:hAnsi="黑体" w:eastAsia="黑体" w:cs="黑体"/>
                <w:bCs/>
                <w:sz w:val="24"/>
              </w:rPr>
              <w:t>收入　</w:t>
            </w:r>
          </w:p>
        </w:tc>
        <w:tc>
          <w:tcPr>
            <w:tcW w:w="3970" w:type="dxa"/>
            <w:gridSpan w:val="2"/>
            <w:noWrap/>
            <w:vAlign w:val="center"/>
          </w:tcPr>
          <w:p w14:paraId="220FBE1F">
            <w:pPr>
              <w:adjustRightInd w:val="0"/>
              <w:snapToGrid w:val="0"/>
              <w:jc w:val="center"/>
              <w:rPr>
                <w:rFonts w:hint="eastAsia" w:ascii="黑体" w:hAnsi="黑体" w:eastAsia="黑体" w:cs="黑体"/>
                <w:bCs/>
                <w:sz w:val="24"/>
              </w:rPr>
            </w:pPr>
            <w:r>
              <w:rPr>
                <w:rFonts w:hint="eastAsia" w:ascii="黑体" w:hAnsi="黑体" w:eastAsia="黑体" w:cs="黑体"/>
                <w:bCs/>
                <w:sz w:val="24"/>
              </w:rPr>
              <w:t>支出</w:t>
            </w:r>
          </w:p>
        </w:tc>
      </w:tr>
      <w:tr w14:paraId="17F24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788" w:type="dxa"/>
            <w:noWrap/>
          </w:tcPr>
          <w:p w14:paraId="4AECB1E5">
            <w:pPr>
              <w:pStyle w:val="8"/>
              <w:adjustRightInd w:val="0"/>
              <w:snapToGrid w:val="0"/>
              <w:jc w:val="center"/>
              <w:rPr>
                <w:rFonts w:ascii="仿宋" w:hAnsi="仿宋" w:eastAsia="仿宋" w:cs="仿宋"/>
                <w:kern w:val="0"/>
              </w:rPr>
            </w:pPr>
            <w:r>
              <w:rPr>
                <w:rFonts w:hint="eastAsia" w:ascii="仿宋" w:hAnsi="仿宋" w:eastAsia="仿宋" w:cs="仿宋"/>
                <w:kern w:val="0"/>
              </w:rPr>
              <w:t>1</w:t>
            </w:r>
          </w:p>
        </w:tc>
        <w:tc>
          <w:tcPr>
            <w:tcW w:w="3223" w:type="dxa"/>
            <w:noWrap/>
            <w:vAlign w:val="center"/>
          </w:tcPr>
          <w:p w14:paraId="370CB3EB">
            <w:pPr>
              <w:adjustRightInd w:val="0"/>
              <w:snapToGrid w:val="0"/>
              <w:spacing w:line="300" w:lineRule="exact"/>
              <w:jc w:val="center"/>
              <w:rPr>
                <w:rFonts w:ascii="仿宋" w:hAnsi="仿宋" w:eastAsia="仿宋" w:cs="仿宋"/>
                <w:sz w:val="22"/>
                <w:szCs w:val="21"/>
              </w:rPr>
            </w:pPr>
            <w:r>
              <w:rPr>
                <w:rFonts w:hint="eastAsia" w:ascii="仿宋" w:hAnsi="仿宋" w:eastAsia="仿宋" w:cs="仿宋"/>
                <w:sz w:val="22"/>
                <w:szCs w:val="21"/>
              </w:rPr>
              <w:t>　</w:t>
            </w:r>
            <w:r>
              <w:rPr>
                <w:rFonts w:hint="eastAsia" w:ascii="仿宋" w:hAnsi="仿宋" w:eastAsia="仿宋" w:cs="仿宋"/>
                <w:b/>
                <w:sz w:val="22"/>
                <w:szCs w:val="21"/>
              </w:rPr>
              <w:t>一般预算收入</w:t>
            </w:r>
          </w:p>
        </w:tc>
        <w:tc>
          <w:tcPr>
            <w:tcW w:w="997" w:type="dxa"/>
            <w:noWrap/>
            <w:vAlign w:val="center"/>
          </w:tcPr>
          <w:p w14:paraId="12FF01F9">
            <w:pPr>
              <w:adjustRightInd w:val="0"/>
              <w:snapToGrid w:val="0"/>
              <w:spacing w:line="300" w:lineRule="exact"/>
              <w:jc w:val="center"/>
              <w:rPr>
                <w:rFonts w:ascii="仿宋" w:hAnsi="仿宋" w:eastAsia="仿宋" w:cs="仿宋"/>
                <w:b/>
                <w:bCs/>
                <w:sz w:val="22"/>
                <w:szCs w:val="21"/>
              </w:rPr>
            </w:pPr>
            <w:r>
              <w:rPr>
                <w:rFonts w:hint="eastAsia" w:ascii="仿宋" w:hAnsi="仿宋" w:eastAsia="仿宋" w:cs="仿宋"/>
                <w:b/>
                <w:bCs/>
                <w:sz w:val="22"/>
                <w:szCs w:val="21"/>
              </w:rPr>
              <w:t>决算数</w:t>
            </w:r>
          </w:p>
        </w:tc>
        <w:tc>
          <w:tcPr>
            <w:tcW w:w="2764" w:type="dxa"/>
            <w:noWrap/>
            <w:vAlign w:val="center"/>
          </w:tcPr>
          <w:p w14:paraId="0D36DCD1">
            <w:pPr>
              <w:adjustRightInd w:val="0"/>
              <w:snapToGrid w:val="0"/>
              <w:spacing w:line="300" w:lineRule="exact"/>
              <w:jc w:val="center"/>
              <w:rPr>
                <w:rFonts w:ascii="仿宋" w:hAnsi="仿宋" w:eastAsia="仿宋" w:cs="仿宋"/>
                <w:b/>
                <w:bCs/>
                <w:sz w:val="22"/>
                <w:szCs w:val="21"/>
              </w:rPr>
            </w:pPr>
            <w:r>
              <w:rPr>
                <w:rFonts w:hint="eastAsia" w:ascii="仿宋" w:hAnsi="仿宋" w:eastAsia="仿宋" w:cs="仿宋"/>
                <w:b/>
                <w:bCs/>
                <w:sz w:val="22"/>
                <w:szCs w:val="21"/>
              </w:rPr>
              <w:t>　一般预算支出　</w:t>
            </w:r>
          </w:p>
        </w:tc>
        <w:tc>
          <w:tcPr>
            <w:tcW w:w="1206" w:type="dxa"/>
            <w:noWrap/>
            <w:vAlign w:val="center"/>
          </w:tcPr>
          <w:p w14:paraId="554FCECD">
            <w:pPr>
              <w:adjustRightInd w:val="0"/>
              <w:snapToGrid w:val="0"/>
              <w:spacing w:line="300" w:lineRule="exact"/>
              <w:jc w:val="center"/>
              <w:rPr>
                <w:rFonts w:ascii="仿宋" w:hAnsi="仿宋" w:eastAsia="仿宋" w:cs="仿宋"/>
                <w:b/>
                <w:bCs/>
                <w:sz w:val="22"/>
                <w:szCs w:val="21"/>
              </w:rPr>
            </w:pPr>
            <w:r>
              <w:rPr>
                <w:rFonts w:hint="eastAsia" w:ascii="仿宋" w:hAnsi="仿宋" w:eastAsia="仿宋" w:cs="仿宋"/>
                <w:b/>
                <w:bCs/>
                <w:sz w:val="22"/>
                <w:szCs w:val="21"/>
              </w:rPr>
              <w:t>决算数</w:t>
            </w:r>
          </w:p>
        </w:tc>
      </w:tr>
      <w:tr w14:paraId="3E61E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88" w:type="dxa"/>
            <w:noWrap/>
            <w:vAlign w:val="center"/>
          </w:tcPr>
          <w:p w14:paraId="56DF51D3">
            <w:pPr>
              <w:adjustRightInd w:val="0"/>
              <w:snapToGrid w:val="0"/>
              <w:spacing w:line="300" w:lineRule="exact"/>
              <w:jc w:val="center"/>
              <w:rPr>
                <w:rFonts w:ascii="仿宋" w:hAnsi="仿宋" w:eastAsia="仿宋" w:cs="仿宋"/>
                <w:sz w:val="24"/>
              </w:rPr>
            </w:pPr>
            <w:r>
              <w:rPr>
                <w:rFonts w:hint="eastAsia" w:ascii="仿宋" w:hAnsi="仿宋" w:eastAsia="仿宋" w:cs="仿宋"/>
                <w:sz w:val="24"/>
              </w:rPr>
              <w:t>2</w:t>
            </w:r>
          </w:p>
        </w:tc>
        <w:tc>
          <w:tcPr>
            <w:tcW w:w="3223" w:type="dxa"/>
            <w:noWrap/>
            <w:vAlign w:val="center"/>
          </w:tcPr>
          <w:p w14:paraId="08632049">
            <w:pPr>
              <w:adjustRightInd w:val="0"/>
              <w:snapToGrid w:val="0"/>
              <w:spacing w:line="300" w:lineRule="exact"/>
              <w:jc w:val="left"/>
              <w:rPr>
                <w:rFonts w:ascii="仿宋" w:hAnsi="仿宋" w:eastAsia="仿宋" w:cs="仿宋"/>
                <w:bCs/>
                <w:sz w:val="22"/>
                <w:szCs w:val="21"/>
              </w:rPr>
            </w:pPr>
            <w:r>
              <w:rPr>
                <w:rFonts w:hint="eastAsia" w:ascii="仿宋" w:hAnsi="仿宋" w:eastAsia="仿宋" w:cs="仿宋"/>
                <w:b/>
                <w:sz w:val="22"/>
                <w:szCs w:val="21"/>
              </w:rPr>
              <w:t>税收收入</w:t>
            </w:r>
          </w:p>
        </w:tc>
        <w:tc>
          <w:tcPr>
            <w:tcW w:w="997" w:type="dxa"/>
            <w:noWrap/>
            <w:vAlign w:val="center"/>
          </w:tcPr>
          <w:p w14:paraId="30B23B87">
            <w:pPr>
              <w:adjustRightInd w:val="0"/>
              <w:snapToGrid w:val="0"/>
              <w:spacing w:line="300" w:lineRule="exact"/>
              <w:jc w:val="left"/>
              <w:rPr>
                <w:rFonts w:hint="default" w:ascii="仿宋" w:hAnsi="仿宋" w:eastAsia="仿宋" w:cs="仿宋"/>
                <w:sz w:val="24"/>
                <w:lang w:val="en-US" w:eastAsia="zh-CN"/>
              </w:rPr>
            </w:pPr>
            <w:r>
              <w:rPr>
                <w:rFonts w:hint="eastAsia" w:ascii="仿宋" w:hAnsi="仿宋" w:eastAsia="仿宋" w:cs="仿宋"/>
                <w:b/>
                <w:bCs/>
                <w:sz w:val="24"/>
                <w:lang w:val="en-US" w:eastAsia="zh-CN"/>
              </w:rPr>
              <w:t>144236</w:t>
            </w:r>
          </w:p>
        </w:tc>
        <w:tc>
          <w:tcPr>
            <w:tcW w:w="2764" w:type="dxa"/>
            <w:noWrap/>
            <w:vAlign w:val="center"/>
          </w:tcPr>
          <w:p w14:paraId="413DEC35">
            <w:pPr>
              <w:adjustRightInd w:val="0"/>
              <w:snapToGrid w:val="0"/>
              <w:spacing w:line="300" w:lineRule="exact"/>
              <w:jc w:val="left"/>
              <w:rPr>
                <w:rFonts w:ascii="仿宋" w:hAnsi="仿宋" w:eastAsia="仿宋" w:cs="仿宋"/>
                <w:bCs/>
                <w:sz w:val="22"/>
                <w:szCs w:val="21"/>
              </w:rPr>
            </w:pPr>
            <w:r>
              <w:rPr>
                <w:rFonts w:hint="eastAsia" w:ascii="仿宋" w:hAnsi="仿宋" w:eastAsia="仿宋" w:cs="仿宋"/>
                <w:bCs/>
                <w:sz w:val="22"/>
                <w:szCs w:val="21"/>
              </w:rPr>
              <w:t>一般公共服务支出</w:t>
            </w:r>
          </w:p>
        </w:tc>
        <w:tc>
          <w:tcPr>
            <w:tcW w:w="1206" w:type="dxa"/>
            <w:noWrap/>
            <w:vAlign w:val="center"/>
          </w:tcPr>
          <w:p w14:paraId="7D32CD9E">
            <w:pPr>
              <w:adjustRightInd w:val="0"/>
              <w:snapToGrid w:val="0"/>
              <w:spacing w:line="300" w:lineRule="exact"/>
              <w:jc w:val="left"/>
              <w:rPr>
                <w:rFonts w:hint="default" w:ascii="仿宋" w:hAnsi="仿宋" w:eastAsia="仿宋" w:cs="仿宋"/>
                <w:bCs/>
                <w:sz w:val="24"/>
                <w:lang w:val="en-US" w:eastAsia="zh-CN"/>
              </w:rPr>
            </w:pPr>
            <w:r>
              <w:rPr>
                <w:rFonts w:hint="eastAsia" w:ascii="仿宋" w:hAnsi="仿宋" w:eastAsia="仿宋" w:cs="仿宋"/>
                <w:bCs/>
                <w:sz w:val="24"/>
                <w:lang w:val="en-US" w:eastAsia="zh-CN"/>
              </w:rPr>
              <w:t>20645</w:t>
            </w:r>
          </w:p>
        </w:tc>
      </w:tr>
      <w:tr w14:paraId="1810E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88" w:type="dxa"/>
            <w:noWrap/>
            <w:vAlign w:val="center"/>
          </w:tcPr>
          <w:p w14:paraId="17562751">
            <w:pPr>
              <w:adjustRightInd w:val="0"/>
              <w:snapToGrid w:val="0"/>
              <w:spacing w:line="300" w:lineRule="exact"/>
              <w:jc w:val="center"/>
              <w:rPr>
                <w:rFonts w:ascii="仿宋" w:hAnsi="仿宋" w:eastAsia="仿宋" w:cs="仿宋"/>
                <w:sz w:val="24"/>
              </w:rPr>
            </w:pPr>
            <w:r>
              <w:rPr>
                <w:rFonts w:hint="eastAsia" w:ascii="仿宋" w:hAnsi="仿宋" w:eastAsia="仿宋" w:cs="仿宋"/>
                <w:sz w:val="24"/>
              </w:rPr>
              <w:t>3</w:t>
            </w:r>
          </w:p>
        </w:tc>
        <w:tc>
          <w:tcPr>
            <w:tcW w:w="3223" w:type="dxa"/>
            <w:noWrap/>
            <w:vAlign w:val="center"/>
          </w:tcPr>
          <w:p w14:paraId="0D686E34">
            <w:pPr>
              <w:adjustRightInd w:val="0"/>
              <w:snapToGrid w:val="0"/>
              <w:spacing w:line="300" w:lineRule="exact"/>
              <w:ind w:firstLine="220" w:firstLineChars="100"/>
              <w:jc w:val="left"/>
              <w:rPr>
                <w:rFonts w:ascii="仿宋" w:hAnsi="仿宋" w:eastAsia="仿宋" w:cs="仿宋"/>
                <w:bCs/>
                <w:sz w:val="22"/>
                <w:szCs w:val="21"/>
              </w:rPr>
            </w:pPr>
            <w:r>
              <w:rPr>
                <w:rFonts w:hint="eastAsia" w:ascii="仿宋" w:hAnsi="仿宋" w:eastAsia="仿宋" w:cs="仿宋"/>
                <w:bCs/>
                <w:sz w:val="22"/>
                <w:szCs w:val="21"/>
              </w:rPr>
              <w:t>增值税</w:t>
            </w:r>
          </w:p>
        </w:tc>
        <w:tc>
          <w:tcPr>
            <w:tcW w:w="997" w:type="dxa"/>
            <w:noWrap/>
            <w:vAlign w:val="center"/>
          </w:tcPr>
          <w:p w14:paraId="1F3056B1">
            <w:pPr>
              <w:adjustRightInd w:val="0"/>
              <w:snapToGrid w:val="0"/>
              <w:spacing w:line="300" w:lineRule="exact"/>
              <w:jc w:val="left"/>
              <w:rPr>
                <w:rFonts w:hint="default" w:ascii="仿宋" w:hAnsi="仿宋" w:eastAsia="仿宋" w:cs="仿宋"/>
                <w:sz w:val="24"/>
                <w:lang w:val="en-US" w:eastAsia="zh-CN"/>
              </w:rPr>
            </w:pPr>
            <w:r>
              <w:rPr>
                <w:rFonts w:hint="eastAsia" w:ascii="仿宋" w:hAnsi="仿宋" w:eastAsia="仿宋" w:cs="仿宋"/>
                <w:sz w:val="24"/>
                <w:lang w:val="en-US" w:eastAsia="zh-CN"/>
              </w:rPr>
              <w:t>77525</w:t>
            </w:r>
          </w:p>
        </w:tc>
        <w:tc>
          <w:tcPr>
            <w:tcW w:w="2764" w:type="dxa"/>
            <w:noWrap/>
            <w:vAlign w:val="center"/>
          </w:tcPr>
          <w:p w14:paraId="1D71204F">
            <w:pPr>
              <w:adjustRightInd w:val="0"/>
              <w:snapToGrid w:val="0"/>
              <w:spacing w:line="300" w:lineRule="exact"/>
              <w:jc w:val="left"/>
              <w:rPr>
                <w:rFonts w:ascii="仿宋" w:hAnsi="仿宋" w:eastAsia="仿宋" w:cs="仿宋"/>
                <w:bCs/>
                <w:sz w:val="22"/>
                <w:szCs w:val="21"/>
              </w:rPr>
            </w:pPr>
            <w:r>
              <w:rPr>
                <w:rFonts w:hint="eastAsia" w:ascii="仿宋" w:hAnsi="仿宋" w:eastAsia="仿宋" w:cs="仿宋"/>
                <w:bCs/>
                <w:sz w:val="22"/>
                <w:szCs w:val="21"/>
              </w:rPr>
              <w:t>国防支出</w:t>
            </w:r>
          </w:p>
        </w:tc>
        <w:tc>
          <w:tcPr>
            <w:tcW w:w="1206" w:type="dxa"/>
            <w:noWrap/>
            <w:vAlign w:val="center"/>
          </w:tcPr>
          <w:p w14:paraId="5B09EFE5">
            <w:pPr>
              <w:adjustRightInd w:val="0"/>
              <w:snapToGrid w:val="0"/>
              <w:spacing w:line="300" w:lineRule="exact"/>
              <w:jc w:val="left"/>
              <w:rPr>
                <w:rFonts w:hint="default" w:ascii="仿宋" w:hAnsi="仿宋" w:eastAsia="仿宋" w:cs="仿宋"/>
                <w:bCs/>
                <w:sz w:val="24"/>
                <w:lang w:val="en-US" w:eastAsia="zh-CN"/>
              </w:rPr>
            </w:pPr>
            <w:r>
              <w:rPr>
                <w:rFonts w:hint="eastAsia" w:ascii="仿宋" w:hAnsi="仿宋" w:eastAsia="仿宋" w:cs="仿宋"/>
                <w:bCs/>
                <w:sz w:val="24"/>
                <w:lang w:val="en-US" w:eastAsia="zh-CN"/>
              </w:rPr>
              <w:t>62</w:t>
            </w:r>
          </w:p>
        </w:tc>
      </w:tr>
      <w:tr w14:paraId="4FDA0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88" w:type="dxa"/>
            <w:noWrap/>
            <w:vAlign w:val="center"/>
          </w:tcPr>
          <w:p w14:paraId="625630A7">
            <w:pPr>
              <w:adjustRightInd w:val="0"/>
              <w:snapToGrid w:val="0"/>
              <w:spacing w:line="300" w:lineRule="exact"/>
              <w:jc w:val="center"/>
              <w:rPr>
                <w:rFonts w:ascii="仿宋" w:hAnsi="仿宋" w:eastAsia="仿宋" w:cs="仿宋"/>
                <w:sz w:val="24"/>
              </w:rPr>
            </w:pPr>
            <w:r>
              <w:rPr>
                <w:rFonts w:hint="eastAsia" w:ascii="仿宋" w:hAnsi="仿宋" w:eastAsia="仿宋" w:cs="仿宋"/>
                <w:sz w:val="24"/>
              </w:rPr>
              <w:t>4</w:t>
            </w:r>
          </w:p>
        </w:tc>
        <w:tc>
          <w:tcPr>
            <w:tcW w:w="3223" w:type="dxa"/>
            <w:noWrap/>
            <w:vAlign w:val="center"/>
          </w:tcPr>
          <w:p w14:paraId="76750BD1">
            <w:pPr>
              <w:adjustRightInd w:val="0"/>
              <w:snapToGrid w:val="0"/>
              <w:spacing w:line="300" w:lineRule="exact"/>
              <w:ind w:firstLine="220" w:firstLineChars="100"/>
              <w:jc w:val="left"/>
              <w:rPr>
                <w:rFonts w:ascii="仿宋" w:hAnsi="仿宋" w:eastAsia="仿宋" w:cs="仿宋"/>
                <w:bCs/>
                <w:sz w:val="22"/>
                <w:szCs w:val="21"/>
              </w:rPr>
            </w:pPr>
            <w:r>
              <w:rPr>
                <w:rFonts w:hint="eastAsia" w:ascii="仿宋" w:hAnsi="仿宋" w:eastAsia="仿宋" w:cs="仿宋"/>
                <w:bCs/>
                <w:sz w:val="22"/>
                <w:szCs w:val="21"/>
              </w:rPr>
              <w:t>企业所得税</w:t>
            </w:r>
          </w:p>
        </w:tc>
        <w:tc>
          <w:tcPr>
            <w:tcW w:w="997" w:type="dxa"/>
            <w:noWrap/>
            <w:vAlign w:val="center"/>
          </w:tcPr>
          <w:p w14:paraId="3132B2E9">
            <w:pPr>
              <w:adjustRightInd w:val="0"/>
              <w:snapToGrid w:val="0"/>
              <w:spacing w:line="300" w:lineRule="exact"/>
              <w:jc w:val="left"/>
              <w:rPr>
                <w:rFonts w:hint="default" w:ascii="仿宋" w:hAnsi="仿宋" w:eastAsia="仿宋" w:cs="仿宋"/>
                <w:sz w:val="24"/>
                <w:lang w:val="en-US" w:eastAsia="zh-CN"/>
              </w:rPr>
            </w:pPr>
            <w:r>
              <w:rPr>
                <w:rFonts w:hint="eastAsia" w:ascii="仿宋" w:hAnsi="仿宋" w:eastAsia="仿宋" w:cs="仿宋"/>
                <w:sz w:val="24"/>
                <w:lang w:val="en-US" w:eastAsia="zh-CN"/>
              </w:rPr>
              <w:t>11460</w:t>
            </w:r>
          </w:p>
        </w:tc>
        <w:tc>
          <w:tcPr>
            <w:tcW w:w="2764" w:type="dxa"/>
            <w:noWrap/>
            <w:vAlign w:val="center"/>
          </w:tcPr>
          <w:p w14:paraId="1F3248B7">
            <w:pPr>
              <w:adjustRightInd w:val="0"/>
              <w:snapToGrid w:val="0"/>
              <w:spacing w:line="300" w:lineRule="exact"/>
              <w:jc w:val="left"/>
              <w:rPr>
                <w:rFonts w:ascii="仿宋" w:hAnsi="仿宋" w:eastAsia="仿宋" w:cs="仿宋"/>
                <w:bCs/>
                <w:sz w:val="22"/>
                <w:szCs w:val="21"/>
              </w:rPr>
            </w:pPr>
            <w:r>
              <w:rPr>
                <w:rFonts w:hint="eastAsia" w:ascii="仿宋" w:hAnsi="仿宋" w:eastAsia="仿宋" w:cs="仿宋"/>
                <w:bCs/>
                <w:sz w:val="22"/>
                <w:szCs w:val="21"/>
              </w:rPr>
              <w:t>公共安全支出</w:t>
            </w:r>
          </w:p>
        </w:tc>
        <w:tc>
          <w:tcPr>
            <w:tcW w:w="1206" w:type="dxa"/>
            <w:noWrap/>
            <w:vAlign w:val="center"/>
          </w:tcPr>
          <w:p w14:paraId="63D1551A">
            <w:pPr>
              <w:adjustRightInd w:val="0"/>
              <w:snapToGrid w:val="0"/>
              <w:spacing w:line="300" w:lineRule="exact"/>
              <w:jc w:val="left"/>
              <w:rPr>
                <w:rFonts w:hint="default" w:ascii="仿宋" w:hAnsi="仿宋" w:eastAsia="仿宋" w:cs="仿宋"/>
                <w:bCs/>
                <w:sz w:val="24"/>
                <w:lang w:val="en-US" w:eastAsia="zh-CN"/>
              </w:rPr>
            </w:pPr>
            <w:r>
              <w:rPr>
                <w:rFonts w:hint="eastAsia" w:ascii="仿宋" w:hAnsi="仿宋" w:eastAsia="仿宋" w:cs="仿宋"/>
                <w:bCs/>
                <w:sz w:val="24"/>
                <w:lang w:val="en-US" w:eastAsia="zh-CN"/>
              </w:rPr>
              <w:t>4746</w:t>
            </w:r>
          </w:p>
        </w:tc>
      </w:tr>
      <w:tr w14:paraId="61294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88" w:type="dxa"/>
            <w:noWrap/>
            <w:vAlign w:val="center"/>
          </w:tcPr>
          <w:p w14:paraId="2FE7A261">
            <w:pPr>
              <w:adjustRightInd w:val="0"/>
              <w:snapToGrid w:val="0"/>
              <w:spacing w:line="300" w:lineRule="exact"/>
              <w:jc w:val="center"/>
              <w:rPr>
                <w:rFonts w:ascii="仿宋" w:hAnsi="仿宋" w:eastAsia="仿宋" w:cs="仿宋"/>
                <w:sz w:val="24"/>
              </w:rPr>
            </w:pPr>
            <w:r>
              <w:rPr>
                <w:rFonts w:hint="eastAsia" w:ascii="仿宋" w:hAnsi="仿宋" w:eastAsia="仿宋" w:cs="仿宋"/>
                <w:sz w:val="24"/>
              </w:rPr>
              <w:t>5</w:t>
            </w:r>
          </w:p>
        </w:tc>
        <w:tc>
          <w:tcPr>
            <w:tcW w:w="3223" w:type="dxa"/>
            <w:noWrap/>
            <w:vAlign w:val="center"/>
          </w:tcPr>
          <w:p w14:paraId="7FCBDC57">
            <w:pPr>
              <w:adjustRightInd w:val="0"/>
              <w:snapToGrid w:val="0"/>
              <w:spacing w:line="300" w:lineRule="exact"/>
              <w:ind w:firstLine="220" w:firstLineChars="100"/>
              <w:jc w:val="left"/>
              <w:rPr>
                <w:rFonts w:ascii="仿宋" w:hAnsi="仿宋" w:eastAsia="仿宋" w:cs="仿宋"/>
                <w:bCs/>
                <w:sz w:val="22"/>
                <w:szCs w:val="21"/>
              </w:rPr>
            </w:pPr>
            <w:r>
              <w:rPr>
                <w:rFonts w:hint="eastAsia" w:ascii="仿宋" w:hAnsi="仿宋" w:eastAsia="仿宋" w:cs="仿宋"/>
                <w:bCs/>
                <w:sz w:val="22"/>
                <w:szCs w:val="21"/>
              </w:rPr>
              <w:t>个人所得税</w:t>
            </w:r>
          </w:p>
        </w:tc>
        <w:tc>
          <w:tcPr>
            <w:tcW w:w="997" w:type="dxa"/>
            <w:noWrap/>
            <w:vAlign w:val="center"/>
          </w:tcPr>
          <w:p w14:paraId="61EFF26A">
            <w:pPr>
              <w:adjustRightInd w:val="0"/>
              <w:snapToGrid w:val="0"/>
              <w:spacing w:line="300" w:lineRule="exact"/>
              <w:jc w:val="left"/>
              <w:rPr>
                <w:rFonts w:hint="default" w:ascii="仿宋" w:hAnsi="仿宋" w:eastAsia="仿宋" w:cs="仿宋"/>
                <w:sz w:val="24"/>
                <w:lang w:val="en-US" w:eastAsia="zh-CN"/>
              </w:rPr>
            </w:pPr>
            <w:r>
              <w:rPr>
                <w:rFonts w:hint="eastAsia" w:ascii="仿宋" w:hAnsi="仿宋" w:eastAsia="仿宋" w:cs="仿宋"/>
                <w:sz w:val="24"/>
                <w:lang w:val="en-US" w:eastAsia="zh-CN"/>
              </w:rPr>
              <w:t>7759</w:t>
            </w:r>
          </w:p>
        </w:tc>
        <w:tc>
          <w:tcPr>
            <w:tcW w:w="2764" w:type="dxa"/>
            <w:noWrap/>
            <w:vAlign w:val="center"/>
          </w:tcPr>
          <w:p w14:paraId="631E511C">
            <w:pPr>
              <w:adjustRightInd w:val="0"/>
              <w:snapToGrid w:val="0"/>
              <w:spacing w:line="300" w:lineRule="exact"/>
              <w:jc w:val="left"/>
              <w:rPr>
                <w:rFonts w:ascii="仿宋" w:hAnsi="仿宋" w:eastAsia="仿宋" w:cs="仿宋"/>
                <w:bCs/>
                <w:sz w:val="22"/>
                <w:szCs w:val="21"/>
              </w:rPr>
            </w:pPr>
            <w:r>
              <w:rPr>
                <w:rFonts w:hint="eastAsia" w:ascii="仿宋" w:hAnsi="仿宋" w:eastAsia="仿宋" w:cs="仿宋"/>
                <w:bCs/>
                <w:sz w:val="22"/>
                <w:szCs w:val="21"/>
              </w:rPr>
              <w:t>教育支出</w:t>
            </w:r>
          </w:p>
        </w:tc>
        <w:tc>
          <w:tcPr>
            <w:tcW w:w="1206" w:type="dxa"/>
            <w:noWrap/>
            <w:vAlign w:val="center"/>
          </w:tcPr>
          <w:p w14:paraId="02EAAB72">
            <w:pPr>
              <w:adjustRightInd w:val="0"/>
              <w:snapToGrid w:val="0"/>
              <w:spacing w:line="300" w:lineRule="exact"/>
              <w:jc w:val="left"/>
              <w:rPr>
                <w:rFonts w:hint="default" w:ascii="仿宋" w:hAnsi="仿宋" w:eastAsia="仿宋" w:cs="仿宋"/>
                <w:bCs/>
                <w:sz w:val="24"/>
                <w:lang w:val="en-US" w:eastAsia="zh-CN"/>
              </w:rPr>
            </w:pPr>
            <w:r>
              <w:rPr>
                <w:rFonts w:hint="eastAsia" w:ascii="仿宋" w:hAnsi="仿宋" w:eastAsia="仿宋" w:cs="仿宋"/>
                <w:bCs/>
                <w:sz w:val="24"/>
              </w:rPr>
              <w:t>13</w:t>
            </w:r>
            <w:r>
              <w:rPr>
                <w:rFonts w:hint="eastAsia" w:ascii="仿宋" w:hAnsi="仿宋" w:eastAsia="仿宋" w:cs="仿宋"/>
                <w:bCs/>
                <w:sz w:val="24"/>
                <w:lang w:val="en-US" w:eastAsia="zh-CN"/>
              </w:rPr>
              <w:t>4920</w:t>
            </w:r>
          </w:p>
        </w:tc>
      </w:tr>
      <w:tr w14:paraId="18181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88" w:type="dxa"/>
            <w:noWrap/>
            <w:vAlign w:val="center"/>
          </w:tcPr>
          <w:p w14:paraId="1672EC70">
            <w:pPr>
              <w:adjustRightInd w:val="0"/>
              <w:snapToGrid w:val="0"/>
              <w:spacing w:line="300" w:lineRule="exact"/>
              <w:jc w:val="center"/>
              <w:rPr>
                <w:rFonts w:ascii="仿宋" w:hAnsi="仿宋" w:eastAsia="仿宋" w:cs="仿宋"/>
                <w:sz w:val="24"/>
              </w:rPr>
            </w:pPr>
            <w:r>
              <w:rPr>
                <w:rFonts w:hint="eastAsia" w:ascii="仿宋" w:hAnsi="仿宋" w:eastAsia="仿宋" w:cs="仿宋"/>
                <w:sz w:val="24"/>
              </w:rPr>
              <w:t>6</w:t>
            </w:r>
          </w:p>
        </w:tc>
        <w:tc>
          <w:tcPr>
            <w:tcW w:w="3223" w:type="dxa"/>
            <w:noWrap/>
            <w:vAlign w:val="center"/>
          </w:tcPr>
          <w:p w14:paraId="506A9454">
            <w:pPr>
              <w:adjustRightInd w:val="0"/>
              <w:snapToGrid w:val="0"/>
              <w:spacing w:line="300" w:lineRule="exact"/>
              <w:ind w:firstLine="220" w:firstLineChars="100"/>
              <w:jc w:val="left"/>
              <w:rPr>
                <w:rFonts w:ascii="仿宋" w:hAnsi="仿宋" w:eastAsia="仿宋" w:cs="仿宋"/>
                <w:bCs/>
                <w:sz w:val="22"/>
                <w:szCs w:val="21"/>
              </w:rPr>
            </w:pPr>
            <w:r>
              <w:rPr>
                <w:rFonts w:hint="eastAsia" w:ascii="仿宋" w:hAnsi="仿宋" w:eastAsia="仿宋" w:cs="仿宋"/>
                <w:bCs/>
                <w:sz w:val="22"/>
                <w:szCs w:val="21"/>
              </w:rPr>
              <w:t>城市维护建设税</w:t>
            </w:r>
          </w:p>
        </w:tc>
        <w:tc>
          <w:tcPr>
            <w:tcW w:w="997" w:type="dxa"/>
            <w:noWrap/>
            <w:vAlign w:val="center"/>
          </w:tcPr>
          <w:p w14:paraId="12BA30A4">
            <w:pPr>
              <w:adjustRightInd w:val="0"/>
              <w:snapToGrid w:val="0"/>
              <w:spacing w:line="300" w:lineRule="exact"/>
              <w:jc w:val="left"/>
              <w:rPr>
                <w:rFonts w:hint="default" w:ascii="仿宋" w:hAnsi="仿宋" w:eastAsia="仿宋" w:cs="仿宋"/>
                <w:sz w:val="24"/>
                <w:lang w:val="en-US" w:eastAsia="zh-CN"/>
              </w:rPr>
            </w:pPr>
            <w:r>
              <w:rPr>
                <w:rFonts w:hint="eastAsia" w:ascii="仿宋" w:hAnsi="仿宋" w:eastAsia="仿宋" w:cs="仿宋"/>
                <w:sz w:val="24"/>
                <w:lang w:val="en-US" w:eastAsia="zh-CN"/>
              </w:rPr>
              <w:t>6977</w:t>
            </w:r>
          </w:p>
        </w:tc>
        <w:tc>
          <w:tcPr>
            <w:tcW w:w="2764" w:type="dxa"/>
            <w:noWrap/>
            <w:vAlign w:val="center"/>
          </w:tcPr>
          <w:p w14:paraId="55E2B5EA">
            <w:pPr>
              <w:adjustRightInd w:val="0"/>
              <w:snapToGrid w:val="0"/>
              <w:spacing w:line="300" w:lineRule="exact"/>
              <w:jc w:val="left"/>
              <w:rPr>
                <w:rFonts w:ascii="仿宋" w:hAnsi="仿宋" w:eastAsia="仿宋" w:cs="仿宋"/>
                <w:bCs/>
                <w:sz w:val="22"/>
                <w:szCs w:val="21"/>
              </w:rPr>
            </w:pPr>
            <w:r>
              <w:rPr>
                <w:rFonts w:hint="eastAsia" w:ascii="仿宋" w:hAnsi="仿宋" w:eastAsia="仿宋" w:cs="仿宋"/>
                <w:bCs/>
                <w:sz w:val="22"/>
                <w:szCs w:val="21"/>
              </w:rPr>
              <w:t>科学技术支出</w:t>
            </w:r>
          </w:p>
        </w:tc>
        <w:tc>
          <w:tcPr>
            <w:tcW w:w="1206" w:type="dxa"/>
            <w:noWrap/>
            <w:vAlign w:val="center"/>
          </w:tcPr>
          <w:p w14:paraId="38E94EBE">
            <w:pPr>
              <w:adjustRightInd w:val="0"/>
              <w:snapToGrid w:val="0"/>
              <w:spacing w:line="300" w:lineRule="exact"/>
              <w:jc w:val="left"/>
              <w:rPr>
                <w:rFonts w:hint="default" w:ascii="仿宋" w:hAnsi="仿宋" w:eastAsia="仿宋" w:cs="仿宋"/>
                <w:bCs/>
                <w:sz w:val="24"/>
                <w:lang w:val="en-US" w:eastAsia="zh-CN"/>
              </w:rPr>
            </w:pPr>
            <w:r>
              <w:rPr>
                <w:rFonts w:hint="eastAsia" w:ascii="仿宋" w:hAnsi="仿宋" w:eastAsia="仿宋" w:cs="仿宋"/>
                <w:bCs/>
                <w:sz w:val="24"/>
                <w:lang w:val="en-US" w:eastAsia="zh-CN"/>
              </w:rPr>
              <w:t>16684</w:t>
            </w:r>
          </w:p>
        </w:tc>
      </w:tr>
      <w:tr w14:paraId="0E07C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88" w:type="dxa"/>
            <w:noWrap/>
            <w:vAlign w:val="center"/>
          </w:tcPr>
          <w:p w14:paraId="48CB5991">
            <w:pPr>
              <w:adjustRightInd w:val="0"/>
              <w:snapToGrid w:val="0"/>
              <w:spacing w:line="300" w:lineRule="exact"/>
              <w:jc w:val="center"/>
              <w:rPr>
                <w:rFonts w:ascii="仿宋" w:hAnsi="仿宋" w:eastAsia="仿宋" w:cs="仿宋"/>
                <w:sz w:val="24"/>
              </w:rPr>
            </w:pPr>
            <w:r>
              <w:rPr>
                <w:rFonts w:hint="eastAsia" w:ascii="仿宋" w:hAnsi="仿宋" w:eastAsia="仿宋" w:cs="仿宋"/>
                <w:sz w:val="24"/>
              </w:rPr>
              <w:t>7</w:t>
            </w:r>
          </w:p>
        </w:tc>
        <w:tc>
          <w:tcPr>
            <w:tcW w:w="3223" w:type="dxa"/>
            <w:noWrap/>
            <w:vAlign w:val="center"/>
          </w:tcPr>
          <w:p w14:paraId="26B9316E">
            <w:pPr>
              <w:adjustRightInd w:val="0"/>
              <w:snapToGrid w:val="0"/>
              <w:spacing w:line="300" w:lineRule="exact"/>
              <w:ind w:firstLine="220" w:firstLineChars="100"/>
              <w:jc w:val="left"/>
              <w:rPr>
                <w:rFonts w:ascii="仿宋" w:hAnsi="仿宋" w:eastAsia="仿宋" w:cs="仿宋"/>
                <w:bCs/>
                <w:sz w:val="22"/>
                <w:szCs w:val="21"/>
              </w:rPr>
            </w:pPr>
            <w:r>
              <w:rPr>
                <w:rFonts w:hint="eastAsia" w:ascii="仿宋" w:hAnsi="仿宋" w:eastAsia="仿宋" w:cs="仿宋"/>
                <w:bCs/>
                <w:sz w:val="22"/>
                <w:szCs w:val="21"/>
              </w:rPr>
              <w:t>房产税</w:t>
            </w:r>
          </w:p>
        </w:tc>
        <w:tc>
          <w:tcPr>
            <w:tcW w:w="997" w:type="dxa"/>
            <w:noWrap/>
            <w:vAlign w:val="center"/>
          </w:tcPr>
          <w:p w14:paraId="68B0D7F3">
            <w:pPr>
              <w:adjustRightInd w:val="0"/>
              <w:snapToGrid w:val="0"/>
              <w:spacing w:line="300" w:lineRule="exact"/>
              <w:jc w:val="left"/>
              <w:rPr>
                <w:rFonts w:hint="default" w:ascii="仿宋" w:hAnsi="仿宋" w:eastAsia="仿宋" w:cs="仿宋"/>
                <w:sz w:val="24"/>
                <w:lang w:val="en-US" w:eastAsia="zh-CN"/>
              </w:rPr>
            </w:pPr>
            <w:r>
              <w:rPr>
                <w:rFonts w:hint="eastAsia" w:ascii="仿宋" w:hAnsi="仿宋" w:eastAsia="仿宋" w:cs="仿宋"/>
                <w:sz w:val="24"/>
                <w:lang w:val="en-US" w:eastAsia="zh-CN"/>
              </w:rPr>
              <w:t>4615</w:t>
            </w:r>
          </w:p>
        </w:tc>
        <w:tc>
          <w:tcPr>
            <w:tcW w:w="2764" w:type="dxa"/>
            <w:noWrap/>
            <w:vAlign w:val="center"/>
          </w:tcPr>
          <w:p w14:paraId="3934C99B">
            <w:pPr>
              <w:adjustRightInd w:val="0"/>
              <w:snapToGrid w:val="0"/>
              <w:spacing w:line="300" w:lineRule="exact"/>
              <w:jc w:val="left"/>
              <w:rPr>
                <w:rFonts w:ascii="仿宋" w:hAnsi="仿宋" w:eastAsia="仿宋" w:cs="仿宋"/>
                <w:bCs/>
                <w:sz w:val="22"/>
                <w:szCs w:val="21"/>
              </w:rPr>
            </w:pPr>
            <w:r>
              <w:rPr>
                <w:rFonts w:hint="eastAsia" w:ascii="仿宋" w:hAnsi="仿宋" w:eastAsia="仿宋" w:cs="仿宋"/>
                <w:bCs/>
                <w:sz w:val="22"/>
                <w:szCs w:val="21"/>
              </w:rPr>
              <w:t>文化旅游体育与传媒支出</w:t>
            </w:r>
          </w:p>
        </w:tc>
        <w:tc>
          <w:tcPr>
            <w:tcW w:w="1206" w:type="dxa"/>
            <w:noWrap/>
            <w:vAlign w:val="center"/>
          </w:tcPr>
          <w:p w14:paraId="1B0C6297">
            <w:pPr>
              <w:adjustRightInd w:val="0"/>
              <w:snapToGrid w:val="0"/>
              <w:spacing w:line="300" w:lineRule="exact"/>
              <w:jc w:val="left"/>
              <w:rPr>
                <w:rFonts w:hint="default" w:ascii="仿宋" w:hAnsi="仿宋" w:eastAsia="仿宋" w:cs="仿宋"/>
                <w:bCs/>
                <w:sz w:val="24"/>
                <w:lang w:val="en-US" w:eastAsia="zh-CN"/>
              </w:rPr>
            </w:pPr>
            <w:r>
              <w:rPr>
                <w:rFonts w:hint="eastAsia" w:ascii="仿宋" w:hAnsi="仿宋" w:eastAsia="仿宋" w:cs="仿宋"/>
                <w:bCs/>
                <w:sz w:val="24"/>
                <w:lang w:val="en-US" w:eastAsia="zh-CN"/>
              </w:rPr>
              <w:t>3039</w:t>
            </w:r>
          </w:p>
        </w:tc>
      </w:tr>
      <w:tr w14:paraId="64F56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88" w:type="dxa"/>
            <w:noWrap/>
            <w:vAlign w:val="center"/>
          </w:tcPr>
          <w:p w14:paraId="135AF005">
            <w:pPr>
              <w:adjustRightInd w:val="0"/>
              <w:snapToGrid w:val="0"/>
              <w:spacing w:line="300" w:lineRule="exact"/>
              <w:jc w:val="center"/>
              <w:rPr>
                <w:rFonts w:ascii="仿宋" w:hAnsi="仿宋" w:eastAsia="仿宋" w:cs="仿宋"/>
                <w:sz w:val="24"/>
              </w:rPr>
            </w:pPr>
            <w:r>
              <w:rPr>
                <w:rFonts w:hint="eastAsia" w:ascii="仿宋" w:hAnsi="仿宋" w:eastAsia="仿宋" w:cs="仿宋"/>
                <w:sz w:val="24"/>
              </w:rPr>
              <w:t>8</w:t>
            </w:r>
          </w:p>
        </w:tc>
        <w:tc>
          <w:tcPr>
            <w:tcW w:w="3223" w:type="dxa"/>
            <w:noWrap/>
            <w:vAlign w:val="center"/>
          </w:tcPr>
          <w:p w14:paraId="436FFCBE">
            <w:pPr>
              <w:adjustRightInd w:val="0"/>
              <w:snapToGrid w:val="0"/>
              <w:spacing w:line="300" w:lineRule="exact"/>
              <w:ind w:firstLine="220" w:firstLineChars="100"/>
              <w:jc w:val="left"/>
              <w:rPr>
                <w:rFonts w:ascii="仿宋" w:hAnsi="仿宋" w:eastAsia="仿宋" w:cs="仿宋"/>
                <w:bCs/>
                <w:sz w:val="22"/>
                <w:szCs w:val="21"/>
              </w:rPr>
            </w:pPr>
            <w:r>
              <w:rPr>
                <w:rFonts w:hint="eastAsia" w:ascii="仿宋" w:hAnsi="仿宋" w:eastAsia="仿宋" w:cs="仿宋"/>
                <w:bCs/>
                <w:sz w:val="22"/>
                <w:szCs w:val="21"/>
              </w:rPr>
              <w:t>印花税</w:t>
            </w:r>
          </w:p>
        </w:tc>
        <w:tc>
          <w:tcPr>
            <w:tcW w:w="997" w:type="dxa"/>
            <w:noWrap/>
            <w:vAlign w:val="center"/>
          </w:tcPr>
          <w:p w14:paraId="1C8EC8C6">
            <w:pPr>
              <w:adjustRightInd w:val="0"/>
              <w:snapToGrid w:val="0"/>
              <w:spacing w:line="300" w:lineRule="exact"/>
              <w:jc w:val="left"/>
              <w:rPr>
                <w:rFonts w:hint="default" w:ascii="仿宋" w:hAnsi="仿宋" w:eastAsia="仿宋" w:cs="仿宋"/>
                <w:sz w:val="24"/>
                <w:lang w:val="en-US" w:eastAsia="zh-CN"/>
              </w:rPr>
            </w:pPr>
            <w:r>
              <w:rPr>
                <w:rFonts w:hint="eastAsia" w:ascii="仿宋" w:hAnsi="仿宋" w:eastAsia="仿宋" w:cs="仿宋"/>
                <w:sz w:val="24"/>
                <w:lang w:val="en-US" w:eastAsia="zh-CN"/>
              </w:rPr>
              <w:t>4383</w:t>
            </w:r>
          </w:p>
        </w:tc>
        <w:tc>
          <w:tcPr>
            <w:tcW w:w="2764" w:type="dxa"/>
            <w:noWrap/>
            <w:vAlign w:val="center"/>
          </w:tcPr>
          <w:p w14:paraId="60BE4333">
            <w:pPr>
              <w:adjustRightInd w:val="0"/>
              <w:snapToGrid w:val="0"/>
              <w:spacing w:line="300" w:lineRule="exact"/>
              <w:jc w:val="left"/>
              <w:rPr>
                <w:rFonts w:ascii="仿宋" w:hAnsi="仿宋" w:eastAsia="仿宋" w:cs="仿宋"/>
                <w:bCs/>
                <w:sz w:val="22"/>
                <w:szCs w:val="21"/>
              </w:rPr>
            </w:pPr>
            <w:r>
              <w:rPr>
                <w:rFonts w:hint="eastAsia" w:ascii="仿宋" w:hAnsi="仿宋" w:eastAsia="仿宋" w:cs="仿宋"/>
                <w:bCs/>
                <w:sz w:val="22"/>
                <w:szCs w:val="21"/>
              </w:rPr>
              <w:t>社会保障和就业支出</w:t>
            </w:r>
          </w:p>
        </w:tc>
        <w:tc>
          <w:tcPr>
            <w:tcW w:w="1206" w:type="dxa"/>
            <w:noWrap/>
            <w:vAlign w:val="center"/>
          </w:tcPr>
          <w:p w14:paraId="073062B2">
            <w:pPr>
              <w:adjustRightInd w:val="0"/>
              <w:snapToGrid w:val="0"/>
              <w:spacing w:line="300" w:lineRule="exact"/>
              <w:jc w:val="left"/>
              <w:rPr>
                <w:rFonts w:hint="default" w:ascii="仿宋" w:hAnsi="仿宋" w:eastAsia="仿宋" w:cs="仿宋"/>
                <w:bCs/>
                <w:sz w:val="24"/>
                <w:lang w:val="en-US" w:eastAsia="zh-CN"/>
              </w:rPr>
            </w:pPr>
            <w:r>
              <w:rPr>
                <w:rFonts w:hint="eastAsia" w:ascii="仿宋" w:hAnsi="仿宋" w:eastAsia="仿宋" w:cs="仿宋"/>
                <w:bCs/>
                <w:sz w:val="24"/>
                <w:lang w:val="en-US" w:eastAsia="zh-CN"/>
              </w:rPr>
              <w:t>54703</w:t>
            </w:r>
          </w:p>
        </w:tc>
      </w:tr>
      <w:tr w14:paraId="40860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88" w:type="dxa"/>
            <w:noWrap/>
            <w:vAlign w:val="center"/>
          </w:tcPr>
          <w:p w14:paraId="60E59080">
            <w:pPr>
              <w:adjustRightInd w:val="0"/>
              <w:snapToGrid w:val="0"/>
              <w:spacing w:line="300" w:lineRule="exact"/>
              <w:jc w:val="center"/>
              <w:rPr>
                <w:rFonts w:ascii="仿宋" w:hAnsi="仿宋" w:eastAsia="仿宋" w:cs="仿宋"/>
                <w:sz w:val="24"/>
              </w:rPr>
            </w:pPr>
            <w:r>
              <w:rPr>
                <w:rFonts w:hint="eastAsia" w:ascii="仿宋" w:hAnsi="仿宋" w:eastAsia="仿宋" w:cs="仿宋"/>
                <w:sz w:val="24"/>
              </w:rPr>
              <w:t>9</w:t>
            </w:r>
          </w:p>
        </w:tc>
        <w:tc>
          <w:tcPr>
            <w:tcW w:w="3223" w:type="dxa"/>
            <w:noWrap/>
            <w:vAlign w:val="center"/>
          </w:tcPr>
          <w:p w14:paraId="57A5E51E">
            <w:pPr>
              <w:adjustRightInd w:val="0"/>
              <w:snapToGrid w:val="0"/>
              <w:spacing w:line="300" w:lineRule="exact"/>
              <w:ind w:firstLine="220" w:firstLineChars="100"/>
              <w:jc w:val="left"/>
              <w:rPr>
                <w:rFonts w:ascii="仿宋" w:hAnsi="仿宋" w:eastAsia="仿宋" w:cs="仿宋"/>
                <w:bCs/>
                <w:sz w:val="22"/>
                <w:szCs w:val="21"/>
              </w:rPr>
            </w:pPr>
            <w:r>
              <w:rPr>
                <w:rFonts w:hint="eastAsia" w:ascii="仿宋" w:hAnsi="仿宋" w:eastAsia="仿宋" w:cs="仿宋"/>
                <w:bCs/>
                <w:sz w:val="22"/>
                <w:szCs w:val="21"/>
              </w:rPr>
              <w:t>城镇土地使用税</w:t>
            </w:r>
          </w:p>
        </w:tc>
        <w:tc>
          <w:tcPr>
            <w:tcW w:w="997" w:type="dxa"/>
            <w:noWrap/>
            <w:vAlign w:val="center"/>
          </w:tcPr>
          <w:p w14:paraId="6D384DC4">
            <w:pPr>
              <w:adjustRightInd w:val="0"/>
              <w:snapToGrid w:val="0"/>
              <w:spacing w:line="300" w:lineRule="exact"/>
              <w:jc w:val="left"/>
              <w:rPr>
                <w:rFonts w:hint="default" w:ascii="仿宋" w:hAnsi="仿宋" w:eastAsia="仿宋" w:cs="仿宋"/>
                <w:sz w:val="24"/>
                <w:lang w:val="en-US" w:eastAsia="zh-CN"/>
              </w:rPr>
            </w:pPr>
            <w:r>
              <w:rPr>
                <w:rFonts w:hint="eastAsia" w:ascii="仿宋" w:hAnsi="仿宋" w:eastAsia="仿宋" w:cs="仿宋"/>
                <w:sz w:val="24"/>
                <w:lang w:val="en-US" w:eastAsia="zh-CN"/>
              </w:rPr>
              <w:t>7077</w:t>
            </w:r>
          </w:p>
        </w:tc>
        <w:tc>
          <w:tcPr>
            <w:tcW w:w="2764" w:type="dxa"/>
            <w:noWrap/>
            <w:vAlign w:val="center"/>
          </w:tcPr>
          <w:p w14:paraId="42FB8CB4">
            <w:pPr>
              <w:adjustRightInd w:val="0"/>
              <w:snapToGrid w:val="0"/>
              <w:spacing w:line="300" w:lineRule="exact"/>
              <w:jc w:val="left"/>
              <w:rPr>
                <w:rFonts w:ascii="仿宋" w:hAnsi="仿宋" w:eastAsia="仿宋" w:cs="仿宋"/>
                <w:bCs/>
                <w:sz w:val="22"/>
                <w:szCs w:val="21"/>
              </w:rPr>
            </w:pPr>
            <w:r>
              <w:rPr>
                <w:rFonts w:hint="eastAsia" w:ascii="仿宋" w:hAnsi="仿宋" w:eastAsia="仿宋" w:cs="仿宋"/>
                <w:bCs/>
                <w:sz w:val="22"/>
                <w:szCs w:val="21"/>
              </w:rPr>
              <w:t>卫生健康支出</w:t>
            </w:r>
          </w:p>
        </w:tc>
        <w:tc>
          <w:tcPr>
            <w:tcW w:w="1206" w:type="dxa"/>
            <w:noWrap/>
            <w:vAlign w:val="center"/>
          </w:tcPr>
          <w:p w14:paraId="13810AB6">
            <w:pPr>
              <w:adjustRightInd w:val="0"/>
              <w:snapToGrid w:val="0"/>
              <w:spacing w:line="300" w:lineRule="exact"/>
              <w:jc w:val="left"/>
              <w:rPr>
                <w:rFonts w:hint="default" w:ascii="仿宋" w:hAnsi="仿宋" w:eastAsia="仿宋" w:cs="仿宋"/>
                <w:bCs/>
                <w:sz w:val="24"/>
                <w:lang w:val="en-US" w:eastAsia="zh-CN"/>
              </w:rPr>
            </w:pPr>
            <w:r>
              <w:rPr>
                <w:rFonts w:hint="eastAsia" w:ascii="仿宋" w:hAnsi="仿宋" w:eastAsia="仿宋" w:cs="仿宋"/>
                <w:bCs/>
                <w:sz w:val="24"/>
              </w:rPr>
              <w:t>4</w:t>
            </w:r>
            <w:r>
              <w:rPr>
                <w:rFonts w:hint="eastAsia" w:ascii="仿宋" w:hAnsi="仿宋" w:eastAsia="仿宋" w:cs="仿宋"/>
                <w:bCs/>
                <w:sz w:val="24"/>
                <w:lang w:val="en-US" w:eastAsia="zh-CN"/>
              </w:rPr>
              <w:t>3698</w:t>
            </w:r>
          </w:p>
        </w:tc>
      </w:tr>
      <w:tr w14:paraId="1592F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88" w:type="dxa"/>
            <w:noWrap/>
            <w:vAlign w:val="center"/>
          </w:tcPr>
          <w:p w14:paraId="5F5128B2">
            <w:pPr>
              <w:adjustRightInd w:val="0"/>
              <w:snapToGrid w:val="0"/>
              <w:spacing w:line="300" w:lineRule="exact"/>
              <w:jc w:val="center"/>
              <w:rPr>
                <w:rFonts w:ascii="仿宋" w:hAnsi="仿宋" w:eastAsia="仿宋" w:cs="仿宋"/>
                <w:sz w:val="24"/>
              </w:rPr>
            </w:pPr>
            <w:r>
              <w:rPr>
                <w:rFonts w:hint="eastAsia" w:ascii="仿宋" w:hAnsi="仿宋" w:eastAsia="仿宋" w:cs="仿宋"/>
                <w:sz w:val="24"/>
              </w:rPr>
              <w:t>10</w:t>
            </w:r>
          </w:p>
        </w:tc>
        <w:tc>
          <w:tcPr>
            <w:tcW w:w="3223" w:type="dxa"/>
            <w:noWrap/>
            <w:vAlign w:val="center"/>
          </w:tcPr>
          <w:p w14:paraId="2A7807D7">
            <w:pPr>
              <w:adjustRightInd w:val="0"/>
              <w:snapToGrid w:val="0"/>
              <w:spacing w:line="300" w:lineRule="exact"/>
              <w:ind w:firstLine="220" w:firstLineChars="100"/>
              <w:jc w:val="left"/>
              <w:rPr>
                <w:rFonts w:ascii="仿宋" w:hAnsi="仿宋" w:eastAsia="仿宋" w:cs="仿宋"/>
                <w:bCs/>
                <w:sz w:val="22"/>
                <w:szCs w:val="21"/>
              </w:rPr>
            </w:pPr>
            <w:r>
              <w:rPr>
                <w:rFonts w:hint="eastAsia" w:ascii="仿宋" w:hAnsi="仿宋" w:eastAsia="仿宋" w:cs="仿宋"/>
                <w:bCs/>
                <w:sz w:val="22"/>
                <w:szCs w:val="21"/>
              </w:rPr>
              <w:t>土地增值税</w:t>
            </w:r>
          </w:p>
        </w:tc>
        <w:tc>
          <w:tcPr>
            <w:tcW w:w="997" w:type="dxa"/>
            <w:noWrap/>
            <w:vAlign w:val="center"/>
          </w:tcPr>
          <w:p w14:paraId="3B26CBF1">
            <w:pPr>
              <w:adjustRightInd w:val="0"/>
              <w:snapToGrid w:val="0"/>
              <w:spacing w:line="300" w:lineRule="exact"/>
              <w:jc w:val="left"/>
              <w:rPr>
                <w:rFonts w:hint="default" w:ascii="仿宋" w:hAnsi="仿宋" w:eastAsia="仿宋" w:cs="仿宋"/>
                <w:sz w:val="24"/>
                <w:lang w:val="en-US" w:eastAsia="zh-CN"/>
              </w:rPr>
            </w:pPr>
            <w:r>
              <w:rPr>
                <w:rFonts w:hint="eastAsia" w:ascii="仿宋" w:hAnsi="仿宋" w:eastAsia="仿宋" w:cs="仿宋"/>
                <w:sz w:val="24"/>
                <w:lang w:val="en-US" w:eastAsia="zh-CN"/>
              </w:rPr>
              <w:t>1560</w:t>
            </w:r>
          </w:p>
        </w:tc>
        <w:tc>
          <w:tcPr>
            <w:tcW w:w="2764" w:type="dxa"/>
            <w:noWrap/>
            <w:vAlign w:val="center"/>
          </w:tcPr>
          <w:p w14:paraId="3C080B5C">
            <w:pPr>
              <w:adjustRightInd w:val="0"/>
              <w:snapToGrid w:val="0"/>
              <w:spacing w:line="300" w:lineRule="exact"/>
              <w:jc w:val="left"/>
              <w:rPr>
                <w:rFonts w:ascii="仿宋" w:hAnsi="仿宋" w:eastAsia="仿宋" w:cs="仿宋"/>
                <w:bCs/>
                <w:sz w:val="22"/>
                <w:szCs w:val="21"/>
              </w:rPr>
            </w:pPr>
            <w:r>
              <w:rPr>
                <w:rFonts w:hint="eastAsia" w:ascii="仿宋" w:hAnsi="仿宋" w:eastAsia="仿宋" w:cs="仿宋"/>
                <w:bCs/>
                <w:sz w:val="22"/>
                <w:szCs w:val="21"/>
              </w:rPr>
              <w:t>节能环保支出</w:t>
            </w:r>
          </w:p>
        </w:tc>
        <w:tc>
          <w:tcPr>
            <w:tcW w:w="1206" w:type="dxa"/>
            <w:noWrap/>
            <w:vAlign w:val="center"/>
          </w:tcPr>
          <w:p w14:paraId="7A817782">
            <w:pPr>
              <w:adjustRightInd w:val="0"/>
              <w:snapToGrid w:val="0"/>
              <w:spacing w:line="300" w:lineRule="exact"/>
              <w:jc w:val="left"/>
              <w:rPr>
                <w:rFonts w:hint="default" w:ascii="仿宋" w:hAnsi="仿宋" w:eastAsia="仿宋" w:cs="仿宋"/>
                <w:bCs/>
                <w:sz w:val="24"/>
                <w:lang w:val="en-US" w:eastAsia="zh-CN"/>
              </w:rPr>
            </w:pPr>
            <w:r>
              <w:rPr>
                <w:rFonts w:hint="eastAsia" w:ascii="仿宋" w:hAnsi="仿宋" w:eastAsia="仿宋" w:cs="仿宋"/>
                <w:bCs/>
                <w:sz w:val="24"/>
                <w:lang w:val="en-US" w:eastAsia="zh-CN"/>
              </w:rPr>
              <w:t>21274</w:t>
            </w:r>
          </w:p>
        </w:tc>
      </w:tr>
      <w:tr w14:paraId="652A3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88" w:type="dxa"/>
            <w:noWrap/>
            <w:vAlign w:val="center"/>
          </w:tcPr>
          <w:p w14:paraId="61CEA3A8">
            <w:pPr>
              <w:adjustRightInd w:val="0"/>
              <w:snapToGrid w:val="0"/>
              <w:spacing w:line="300" w:lineRule="exact"/>
              <w:jc w:val="center"/>
              <w:rPr>
                <w:rFonts w:ascii="仿宋" w:hAnsi="仿宋" w:eastAsia="仿宋" w:cs="仿宋"/>
                <w:sz w:val="24"/>
              </w:rPr>
            </w:pPr>
            <w:r>
              <w:rPr>
                <w:rFonts w:hint="eastAsia" w:ascii="仿宋" w:hAnsi="仿宋" w:eastAsia="仿宋" w:cs="仿宋"/>
                <w:sz w:val="24"/>
              </w:rPr>
              <w:t>11</w:t>
            </w:r>
          </w:p>
        </w:tc>
        <w:tc>
          <w:tcPr>
            <w:tcW w:w="3223" w:type="dxa"/>
            <w:noWrap/>
            <w:vAlign w:val="center"/>
          </w:tcPr>
          <w:p w14:paraId="75EF1387">
            <w:pPr>
              <w:adjustRightInd w:val="0"/>
              <w:snapToGrid w:val="0"/>
              <w:spacing w:line="300" w:lineRule="exact"/>
              <w:ind w:firstLine="220" w:firstLineChars="100"/>
              <w:jc w:val="left"/>
              <w:rPr>
                <w:rFonts w:ascii="仿宋" w:hAnsi="仿宋" w:eastAsia="仿宋" w:cs="仿宋"/>
                <w:bCs/>
                <w:sz w:val="22"/>
                <w:szCs w:val="21"/>
              </w:rPr>
            </w:pPr>
            <w:r>
              <w:rPr>
                <w:rFonts w:hint="eastAsia" w:ascii="仿宋" w:hAnsi="仿宋" w:eastAsia="仿宋" w:cs="仿宋"/>
                <w:bCs/>
                <w:sz w:val="22"/>
                <w:szCs w:val="21"/>
              </w:rPr>
              <w:t>车船税</w:t>
            </w:r>
          </w:p>
        </w:tc>
        <w:tc>
          <w:tcPr>
            <w:tcW w:w="997" w:type="dxa"/>
            <w:noWrap/>
            <w:vAlign w:val="center"/>
          </w:tcPr>
          <w:p w14:paraId="41019334">
            <w:pPr>
              <w:adjustRightInd w:val="0"/>
              <w:snapToGrid w:val="0"/>
              <w:spacing w:line="300" w:lineRule="exact"/>
              <w:jc w:val="left"/>
              <w:rPr>
                <w:rFonts w:hint="default" w:ascii="仿宋" w:hAnsi="仿宋" w:eastAsia="仿宋" w:cs="仿宋"/>
                <w:sz w:val="24"/>
                <w:lang w:val="en-US" w:eastAsia="zh-CN"/>
              </w:rPr>
            </w:pPr>
            <w:r>
              <w:rPr>
                <w:rFonts w:hint="eastAsia" w:ascii="仿宋" w:hAnsi="仿宋" w:eastAsia="仿宋" w:cs="仿宋"/>
                <w:sz w:val="24"/>
                <w:lang w:val="en-US" w:eastAsia="zh-CN"/>
              </w:rPr>
              <w:t>2898</w:t>
            </w:r>
          </w:p>
        </w:tc>
        <w:tc>
          <w:tcPr>
            <w:tcW w:w="2764" w:type="dxa"/>
            <w:noWrap/>
            <w:vAlign w:val="center"/>
          </w:tcPr>
          <w:p w14:paraId="77EF0FAC">
            <w:pPr>
              <w:adjustRightInd w:val="0"/>
              <w:snapToGrid w:val="0"/>
              <w:spacing w:line="300" w:lineRule="exact"/>
              <w:jc w:val="left"/>
              <w:rPr>
                <w:rFonts w:ascii="仿宋" w:hAnsi="仿宋" w:eastAsia="仿宋" w:cs="仿宋"/>
                <w:bCs/>
                <w:sz w:val="22"/>
                <w:szCs w:val="21"/>
              </w:rPr>
            </w:pPr>
            <w:r>
              <w:rPr>
                <w:rFonts w:hint="eastAsia" w:ascii="仿宋" w:hAnsi="仿宋" w:eastAsia="仿宋" w:cs="仿宋"/>
                <w:bCs/>
                <w:sz w:val="22"/>
                <w:szCs w:val="21"/>
              </w:rPr>
              <w:t>城乡社区支出</w:t>
            </w:r>
          </w:p>
        </w:tc>
        <w:tc>
          <w:tcPr>
            <w:tcW w:w="1206" w:type="dxa"/>
            <w:noWrap/>
            <w:vAlign w:val="center"/>
          </w:tcPr>
          <w:p w14:paraId="03E2790B">
            <w:pPr>
              <w:adjustRightInd w:val="0"/>
              <w:snapToGrid w:val="0"/>
              <w:spacing w:line="300" w:lineRule="exact"/>
              <w:jc w:val="left"/>
              <w:rPr>
                <w:rFonts w:hint="default" w:ascii="仿宋" w:hAnsi="仿宋" w:eastAsia="仿宋" w:cs="仿宋"/>
                <w:bCs/>
                <w:sz w:val="24"/>
                <w:lang w:val="en-US" w:eastAsia="zh-CN"/>
              </w:rPr>
            </w:pPr>
            <w:r>
              <w:rPr>
                <w:rFonts w:hint="eastAsia" w:ascii="仿宋" w:hAnsi="仿宋" w:eastAsia="仿宋" w:cs="仿宋"/>
                <w:bCs/>
                <w:sz w:val="24"/>
              </w:rPr>
              <w:t>36</w:t>
            </w:r>
            <w:r>
              <w:rPr>
                <w:rFonts w:hint="eastAsia" w:ascii="仿宋" w:hAnsi="仿宋" w:eastAsia="仿宋" w:cs="仿宋"/>
                <w:bCs/>
                <w:sz w:val="24"/>
                <w:lang w:val="en-US" w:eastAsia="zh-CN"/>
              </w:rPr>
              <w:t>75</w:t>
            </w:r>
          </w:p>
        </w:tc>
      </w:tr>
      <w:tr w14:paraId="2E09C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88" w:type="dxa"/>
            <w:noWrap/>
            <w:vAlign w:val="center"/>
          </w:tcPr>
          <w:p w14:paraId="5C0E457A">
            <w:pPr>
              <w:adjustRightInd w:val="0"/>
              <w:snapToGrid w:val="0"/>
              <w:spacing w:line="300" w:lineRule="exact"/>
              <w:jc w:val="center"/>
              <w:rPr>
                <w:rFonts w:ascii="仿宋" w:hAnsi="仿宋" w:eastAsia="仿宋" w:cs="仿宋"/>
                <w:sz w:val="24"/>
              </w:rPr>
            </w:pPr>
            <w:r>
              <w:rPr>
                <w:rFonts w:hint="eastAsia" w:ascii="仿宋" w:hAnsi="仿宋" w:eastAsia="仿宋" w:cs="仿宋"/>
                <w:sz w:val="24"/>
              </w:rPr>
              <w:t>12</w:t>
            </w:r>
          </w:p>
        </w:tc>
        <w:tc>
          <w:tcPr>
            <w:tcW w:w="3223" w:type="dxa"/>
            <w:noWrap/>
            <w:vAlign w:val="center"/>
          </w:tcPr>
          <w:p w14:paraId="5C51BF5E">
            <w:pPr>
              <w:adjustRightInd w:val="0"/>
              <w:snapToGrid w:val="0"/>
              <w:spacing w:line="300" w:lineRule="exact"/>
              <w:ind w:firstLine="220" w:firstLineChars="100"/>
              <w:jc w:val="left"/>
              <w:rPr>
                <w:rFonts w:ascii="仿宋" w:hAnsi="仿宋" w:eastAsia="仿宋" w:cs="仿宋"/>
                <w:bCs/>
                <w:sz w:val="22"/>
                <w:szCs w:val="21"/>
              </w:rPr>
            </w:pPr>
            <w:r>
              <w:rPr>
                <w:rFonts w:hint="eastAsia" w:ascii="仿宋" w:hAnsi="仿宋" w:eastAsia="仿宋" w:cs="仿宋"/>
                <w:bCs/>
                <w:sz w:val="22"/>
                <w:szCs w:val="21"/>
              </w:rPr>
              <w:t>耕地占用税</w:t>
            </w:r>
          </w:p>
        </w:tc>
        <w:tc>
          <w:tcPr>
            <w:tcW w:w="997" w:type="dxa"/>
            <w:noWrap/>
            <w:vAlign w:val="center"/>
          </w:tcPr>
          <w:p w14:paraId="4A971D86">
            <w:pPr>
              <w:adjustRightInd w:val="0"/>
              <w:snapToGrid w:val="0"/>
              <w:spacing w:line="300" w:lineRule="exact"/>
              <w:jc w:val="left"/>
              <w:rPr>
                <w:rFonts w:hint="default" w:ascii="仿宋" w:hAnsi="仿宋" w:eastAsia="仿宋" w:cs="仿宋"/>
                <w:sz w:val="24"/>
                <w:lang w:val="en-US" w:eastAsia="zh-CN"/>
              </w:rPr>
            </w:pPr>
            <w:r>
              <w:rPr>
                <w:rFonts w:hint="eastAsia" w:ascii="仿宋" w:hAnsi="仿宋" w:eastAsia="仿宋" w:cs="仿宋"/>
                <w:sz w:val="24"/>
                <w:lang w:val="en-US" w:eastAsia="zh-CN"/>
              </w:rPr>
              <w:t>9127</w:t>
            </w:r>
          </w:p>
        </w:tc>
        <w:tc>
          <w:tcPr>
            <w:tcW w:w="2764" w:type="dxa"/>
            <w:noWrap/>
            <w:vAlign w:val="center"/>
          </w:tcPr>
          <w:p w14:paraId="621754A9">
            <w:pPr>
              <w:adjustRightInd w:val="0"/>
              <w:snapToGrid w:val="0"/>
              <w:spacing w:line="300" w:lineRule="exact"/>
              <w:jc w:val="left"/>
              <w:rPr>
                <w:rFonts w:ascii="仿宋" w:hAnsi="仿宋" w:eastAsia="仿宋" w:cs="仿宋"/>
                <w:bCs/>
                <w:sz w:val="22"/>
                <w:szCs w:val="21"/>
              </w:rPr>
            </w:pPr>
            <w:r>
              <w:rPr>
                <w:rFonts w:hint="eastAsia" w:ascii="仿宋" w:hAnsi="仿宋" w:eastAsia="仿宋" w:cs="仿宋"/>
                <w:bCs/>
                <w:sz w:val="22"/>
                <w:szCs w:val="21"/>
              </w:rPr>
              <w:t>农林水支出</w:t>
            </w:r>
          </w:p>
        </w:tc>
        <w:tc>
          <w:tcPr>
            <w:tcW w:w="1206" w:type="dxa"/>
            <w:noWrap/>
            <w:vAlign w:val="center"/>
          </w:tcPr>
          <w:p w14:paraId="3264340B">
            <w:pPr>
              <w:adjustRightInd w:val="0"/>
              <w:snapToGrid w:val="0"/>
              <w:spacing w:line="300" w:lineRule="exact"/>
              <w:jc w:val="left"/>
              <w:rPr>
                <w:rFonts w:hint="default" w:ascii="仿宋" w:hAnsi="仿宋" w:eastAsia="仿宋" w:cs="仿宋"/>
                <w:bCs/>
                <w:sz w:val="24"/>
                <w:lang w:val="en-US" w:eastAsia="zh-CN"/>
              </w:rPr>
            </w:pPr>
            <w:r>
              <w:rPr>
                <w:rFonts w:hint="eastAsia" w:ascii="仿宋" w:hAnsi="仿宋" w:eastAsia="仿宋" w:cs="仿宋"/>
                <w:bCs/>
                <w:sz w:val="24"/>
              </w:rPr>
              <w:t>6</w:t>
            </w:r>
            <w:r>
              <w:rPr>
                <w:rFonts w:hint="eastAsia" w:ascii="仿宋" w:hAnsi="仿宋" w:eastAsia="仿宋" w:cs="仿宋"/>
                <w:bCs/>
                <w:sz w:val="24"/>
                <w:lang w:val="en-US" w:eastAsia="zh-CN"/>
              </w:rPr>
              <w:t>0095</w:t>
            </w:r>
          </w:p>
        </w:tc>
      </w:tr>
      <w:tr w14:paraId="6D36B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88" w:type="dxa"/>
            <w:noWrap/>
            <w:vAlign w:val="center"/>
          </w:tcPr>
          <w:p w14:paraId="2AFE24AB">
            <w:pPr>
              <w:adjustRightInd w:val="0"/>
              <w:snapToGrid w:val="0"/>
              <w:spacing w:line="300" w:lineRule="exact"/>
              <w:jc w:val="center"/>
              <w:rPr>
                <w:rFonts w:ascii="仿宋" w:hAnsi="仿宋" w:eastAsia="仿宋" w:cs="仿宋"/>
                <w:sz w:val="24"/>
              </w:rPr>
            </w:pPr>
            <w:r>
              <w:rPr>
                <w:rFonts w:hint="eastAsia" w:ascii="仿宋" w:hAnsi="仿宋" w:eastAsia="仿宋" w:cs="仿宋"/>
                <w:sz w:val="24"/>
              </w:rPr>
              <w:t>13</w:t>
            </w:r>
          </w:p>
        </w:tc>
        <w:tc>
          <w:tcPr>
            <w:tcW w:w="3223" w:type="dxa"/>
            <w:noWrap/>
            <w:vAlign w:val="center"/>
          </w:tcPr>
          <w:p w14:paraId="49FBB898">
            <w:pPr>
              <w:adjustRightInd w:val="0"/>
              <w:snapToGrid w:val="0"/>
              <w:spacing w:line="300" w:lineRule="exact"/>
              <w:ind w:firstLine="220" w:firstLineChars="100"/>
              <w:jc w:val="left"/>
              <w:rPr>
                <w:rFonts w:ascii="仿宋" w:hAnsi="仿宋" w:eastAsia="仿宋" w:cs="仿宋"/>
                <w:bCs/>
                <w:sz w:val="22"/>
                <w:szCs w:val="21"/>
              </w:rPr>
            </w:pPr>
            <w:r>
              <w:rPr>
                <w:rFonts w:hint="eastAsia" w:ascii="仿宋" w:hAnsi="仿宋" w:eastAsia="仿宋" w:cs="仿宋"/>
                <w:bCs/>
                <w:sz w:val="22"/>
                <w:szCs w:val="21"/>
              </w:rPr>
              <w:t>契税</w:t>
            </w:r>
          </w:p>
        </w:tc>
        <w:tc>
          <w:tcPr>
            <w:tcW w:w="997" w:type="dxa"/>
            <w:noWrap/>
            <w:vAlign w:val="center"/>
          </w:tcPr>
          <w:p w14:paraId="3DB0EF4A">
            <w:pPr>
              <w:adjustRightInd w:val="0"/>
              <w:snapToGrid w:val="0"/>
              <w:spacing w:line="300" w:lineRule="exact"/>
              <w:jc w:val="left"/>
              <w:rPr>
                <w:rFonts w:hint="default" w:ascii="仿宋" w:hAnsi="仿宋" w:eastAsia="仿宋" w:cs="仿宋"/>
                <w:sz w:val="24"/>
                <w:lang w:val="en-US" w:eastAsia="zh-CN"/>
              </w:rPr>
            </w:pPr>
            <w:r>
              <w:rPr>
                <w:rFonts w:hint="eastAsia" w:ascii="仿宋" w:hAnsi="仿宋" w:eastAsia="仿宋" w:cs="仿宋"/>
                <w:sz w:val="24"/>
                <w:lang w:val="en-US" w:eastAsia="zh-CN"/>
              </w:rPr>
              <w:t>2884</w:t>
            </w:r>
          </w:p>
        </w:tc>
        <w:tc>
          <w:tcPr>
            <w:tcW w:w="2764" w:type="dxa"/>
            <w:noWrap/>
            <w:vAlign w:val="center"/>
          </w:tcPr>
          <w:p w14:paraId="7640752F">
            <w:pPr>
              <w:adjustRightInd w:val="0"/>
              <w:snapToGrid w:val="0"/>
              <w:spacing w:line="300" w:lineRule="exact"/>
              <w:jc w:val="left"/>
              <w:rPr>
                <w:rFonts w:ascii="仿宋" w:hAnsi="仿宋" w:eastAsia="仿宋" w:cs="仿宋"/>
                <w:bCs/>
                <w:sz w:val="22"/>
                <w:szCs w:val="21"/>
              </w:rPr>
            </w:pPr>
            <w:r>
              <w:rPr>
                <w:rFonts w:hint="eastAsia" w:ascii="仿宋" w:hAnsi="仿宋" w:eastAsia="仿宋" w:cs="仿宋"/>
                <w:bCs/>
                <w:sz w:val="22"/>
                <w:szCs w:val="21"/>
              </w:rPr>
              <w:t>交通运输支出</w:t>
            </w:r>
          </w:p>
        </w:tc>
        <w:tc>
          <w:tcPr>
            <w:tcW w:w="1206" w:type="dxa"/>
            <w:noWrap/>
            <w:vAlign w:val="center"/>
          </w:tcPr>
          <w:p w14:paraId="26CC31F9">
            <w:pPr>
              <w:adjustRightInd w:val="0"/>
              <w:snapToGrid w:val="0"/>
              <w:spacing w:line="300" w:lineRule="exact"/>
              <w:jc w:val="left"/>
              <w:rPr>
                <w:rFonts w:hint="default" w:ascii="仿宋" w:hAnsi="仿宋" w:eastAsia="仿宋" w:cs="仿宋"/>
                <w:bCs/>
                <w:sz w:val="24"/>
                <w:lang w:val="en-US" w:eastAsia="zh-CN"/>
              </w:rPr>
            </w:pPr>
            <w:r>
              <w:rPr>
                <w:rFonts w:hint="eastAsia" w:ascii="仿宋" w:hAnsi="仿宋" w:eastAsia="仿宋" w:cs="仿宋"/>
                <w:bCs/>
                <w:sz w:val="24"/>
                <w:lang w:val="en-US" w:eastAsia="zh-CN"/>
              </w:rPr>
              <w:t>9937</w:t>
            </w:r>
          </w:p>
        </w:tc>
      </w:tr>
      <w:tr w14:paraId="3D521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88" w:type="dxa"/>
            <w:noWrap/>
            <w:vAlign w:val="center"/>
          </w:tcPr>
          <w:p w14:paraId="7AB3A227">
            <w:pPr>
              <w:adjustRightInd w:val="0"/>
              <w:snapToGrid w:val="0"/>
              <w:spacing w:line="300" w:lineRule="exact"/>
              <w:jc w:val="center"/>
              <w:rPr>
                <w:rFonts w:ascii="仿宋" w:hAnsi="仿宋" w:eastAsia="仿宋" w:cs="仿宋"/>
                <w:sz w:val="24"/>
              </w:rPr>
            </w:pPr>
            <w:r>
              <w:rPr>
                <w:rFonts w:hint="eastAsia" w:ascii="仿宋" w:hAnsi="仿宋" w:eastAsia="仿宋" w:cs="仿宋"/>
                <w:sz w:val="24"/>
              </w:rPr>
              <w:t>14</w:t>
            </w:r>
          </w:p>
        </w:tc>
        <w:tc>
          <w:tcPr>
            <w:tcW w:w="3223" w:type="dxa"/>
            <w:noWrap/>
            <w:vAlign w:val="center"/>
          </w:tcPr>
          <w:p w14:paraId="519CC835">
            <w:pPr>
              <w:adjustRightInd w:val="0"/>
              <w:snapToGrid w:val="0"/>
              <w:spacing w:line="300" w:lineRule="exact"/>
              <w:ind w:firstLine="220" w:firstLineChars="100"/>
              <w:jc w:val="left"/>
              <w:rPr>
                <w:rFonts w:ascii="仿宋" w:hAnsi="仿宋" w:eastAsia="仿宋" w:cs="仿宋"/>
                <w:bCs/>
                <w:sz w:val="22"/>
                <w:szCs w:val="21"/>
              </w:rPr>
            </w:pPr>
            <w:r>
              <w:rPr>
                <w:rFonts w:hint="eastAsia" w:ascii="仿宋" w:hAnsi="仿宋" w:eastAsia="仿宋" w:cs="仿宋"/>
                <w:bCs/>
                <w:sz w:val="22"/>
                <w:szCs w:val="21"/>
              </w:rPr>
              <w:t>烟叶税</w:t>
            </w:r>
          </w:p>
        </w:tc>
        <w:tc>
          <w:tcPr>
            <w:tcW w:w="997" w:type="dxa"/>
            <w:noWrap/>
            <w:vAlign w:val="center"/>
          </w:tcPr>
          <w:p w14:paraId="0521D830">
            <w:pPr>
              <w:adjustRightInd w:val="0"/>
              <w:snapToGrid w:val="0"/>
              <w:spacing w:line="300" w:lineRule="exact"/>
              <w:jc w:val="left"/>
              <w:rPr>
                <w:rFonts w:hint="default" w:ascii="仿宋" w:hAnsi="仿宋" w:eastAsia="仿宋" w:cs="仿宋"/>
                <w:sz w:val="24"/>
                <w:lang w:val="en-US" w:eastAsia="zh-CN"/>
              </w:rPr>
            </w:pPr>
            <w:r>
              <w:rPr>
                <w:rFonts w:hint="eastAsia" w:ascii="仿宋" w:hAnsi="仿宋" w:eastAsia="仿宋" w:cs="仿宋"/>
                <w:sz w:val="24"/>
                <w:lang w:val="en-US" w:eastAsia="zh-CN"/>
              </w:rPr>
              <w:t>352</w:t>
            </w:r>
          </w:p>
        </w:tc>
        <w:tc>
          <w:tcPr>
            <w:tcW w:w="2764" w:type="dxa"/>
            <w:noWrap/>
            <w:vAlign w:val="center"/>
          </w:tcPr>
          <w:p w14:paraId="1632C376">
            <w:pPr>
              <w:adjustRightInd w:val="0"/>
              <w:snapToGrid w:val="0"/>
              <w:spacing w:line="300" w:lineRule="exact"/>
              <w:jc w:val="left"/>
              <w:rPr>
                <w:rFonts w:ascii="仿宋" w:hAnsi="仿宋" w:eastAsia="仿宋" w:cs="仿宋"/>
                <w:bCs/>
                <w:sz w:val="22"/>
                <w:szCs w:val="21"/>
              </w:rPr>
            </w:pPr>
            <w:r>
              <w:rPr>
                <w:rFonts w:hint="eastAsia" w:ascii="仿宋" w:hAnsi="仿宋" w:eastAsia="仿宋" w:cs="仿宋"/>
                <w:bCs/>
                <w:sz w:val="22"/>
                <w:szCs w:val="21"/>
              </w:rPr>
              <w:t>资源勘探工业信息等支出</w:t>
            </w:r>
          </w:p>
        </w:tc>
        <w:tc>
          <w:tcPr>
            <w:tcW w:w="1206" w:type="dxa"/>
            <w:noWrap/>
            <w:vAlign w:val="center"/>
          </w:tcPr>
          <w:p w14:paraId="183CA570">
            <w:pPr>
              <w:adjustRightInd w:val="0"/>
              <w:snapToGrid w:val="0"/>
              <w:spacing w:line="300" w:lineRule="exact"/>
              <w:jc w:val="left"/>
              <w:rPr>
                <w:rFonts w:hint="default" w:ascii="仿宋" w:hAnsi="仿宋" w:eastAsia="仿宋" w:cs="仿宋"/>
                <w:bCs/>
                <w:sz w:val="24"/>
                <w:lang w:val="en-US" w:eastAsia="zh-CN"/>
              </w:rPr>
            </w:pPr>
            <w:r>
              <w:rPr>
                <w:rFonts w:hint="eastAsia" w:ascii="仿宋" w:hAnsi="仿宋" w:eastAsia="仿宋" w:cs="仿宋"/>
                <w:bCs/>
                <w:sz w:val="24"/>
                <w:lang w:val="en-US" w:eastAsia="zh-CN"/>
              </w:rPr>
              <w:t>2405</w:t>
            </w:r>
          </w:p>
        </w:tc>
      </w:tr>
      <w:tr w14:paraId="1F2F0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88" w:type="dxa"/>
            <w:noWrap/>
            <w:vAlign w:val="center"/>
          </w:tcPr>
          <w:p w14:paraId="7F7088A4">
            <w:pPr>
              <w:adjustRightInd w:val="0"/>
              <w:snapToGrid w:val="0"/>
              <w:spacing w:line="300" w:lineRule="exact"/>
              <w:jc w:val="center"/>
              <w:rPr>
                <w:rFonts w:ascii="仿宋" w:hAnsi="仿宋" w:eastAsia="仿宋" w:cs="仿宋"/>
                <w:sz w:val="24"/>
              </w:rPr>
            </w:pPr>
            <w:r>
              <w:rPr>
                <w:rFonts w:hint="eastAsia" w:ascii="仿宋" w:hAnsi="仿宋" w:eastAsia="仿宋" w:cs="仿宋"/>
                <w:sz w:val="24"/>
              </w:rPr>
              <w:t>15</w:t>
            </w:r>
          </w:p>
        </w:tc>
        <w:tc>
          <w:tcPr>
            <w:tcW w:w="3223" w:type="dxa"/>
            <w:noWrap/>
            <w:vAlign w:val="center"/>
          </w:tcPr>
          <w:p w14:paraId="7E8B2508">
            <w:pPr>
              <w:adjustRightInd w:val="0"/>
              <w:snapToGrid w:val="0"/>
              <w:spacing w:line="300" w:lineRule="exact"/>
              <w:ind w:firstLine="220" w:firstLineChars="100"/>
              <w:jc w:val="left"/>
              <w:rPr>
                <w:rFonts w:ascii="仿宋" w:hAnsi="仿宋" w:eastAsia="仿宋" w:cs="仿宋"/>
                <w:bCs/>
                <w:sz w:val="22"/>
                <w:szCs w:val="21"/>
              </w:rPr>
            </w:pPr>
            <w:r>
              <w:rPr>
                <w:rFonts w:hint="eastAsia" w:ascii="仿宋" w:hAnsi="仿宋" w:eastAsia="仿宋" w:cs="仿宋"/>
                <w:bCs/>
                <w:sz w:val="22"/>
                <w:szCs w:val="21"/>
              </w:rPr>
              <w:t>环境保护税</w:t>
            </w:r>
          </w:p>
        </w:tc>
        <w:tc>
          <w:tcPr>
            <w:tcW w:w="997" w:type="dxa"/>
            <w:noWrap/>
            <w:vAlign w:val="center"/>
          </w:tcPr>
          <w:p w14:paraId="6289276F">
            <w:pPr>
              <w:adjustRightInd w:val="0"/>
              <w:snapToGrid w:val="0"/>
              <w:spacing w:line="300" w:lineRule="exact"/>
              <w:jc w:val="left"/>
              <w:rPr>
                <w:rFonts w:hint="default" w:ascii="仿宋" w:hAnsi="仿宋" w:eastAsia="仿宋" w:cs="仿宋"/>
                <w:sz w:val="24"/>
                <w:lang w:val="en-US" w:eastAsia="zh-CN"/>
              </w:rPr>
            </w:pPr>
            <w:r>
              <w:rPr>
                <w:rFonts w:hint="eastAsia" w:ascii="仿宋" w:hAnsi="仿宋" w:eastAsia="仿宋" w:cs="仿宋"/>
                <w:sz w:val="24"/>
                <w:lang w:val="en-US" w:eastAsia="zh-CN"/>
              </w:rPr>
              <w:t>487</w:t>
            </w:r>
          </w:p>
        </w:tc>
        <w:tc>
          <w:tcPr>
            <w:tcW w:w="2764" w:type="dxa"/>
            <w:noWrap/>
            <w:vAlign w:val="center"/>
          </w:tcPr>
          <w:p w14:paraId="622486FE">
            <w:pPr>
              <w:adjustRightInd w:val="0"/>
              <w:snapToGrid w:val="0"/>
              <w:spacing w:line="300" w:lineRule="exact"/>
              <w:jc w:val="left"/>
              <w:rPr>
                <w:rFonts w:ascii="仿宋" w:hAnsi="仿宋" w:eastAsia="仿宋" w:cs="仿宋"/>
                <w:bCs/>
                <w:sz w:val="22"/>
                <w:szCs w:val="21"/>
              </w:rPr>
            </w:pPr>
            <w:r>
              <w:rPr>
                <w:rFonts w:hint="eastAsia" w:ascii="仿宋" w:hAnsi="仿宋" w:eastAsia="仿宋" w:cs="仿宋"/>
                <w:bCs/>
                <w:sz w:val="22"/>
                <w:szCs w:val="21"/>
              </w:rPr>
              <w:t>商业服务业等支出</w:t>
            </w:r>
          </w:p>
        </w:tc>
        <w:tc>
          <w:tcPr>
            <w:tcW w:w="1206" w:type="dxa"/>
            <w:noWrap/>
            <w:vAlign w:val="center"/>
          </w:tcPr>
          <w:p w14:paraId="2903EB93">
            <w:pPr>
              <w:adjustRightInd w:val="0"/>
              <w:snapToGrid w:val="0"/>
              <w:spacing w:line="300" w:lineRule="exact"/>
              <w:jc w:val="left"/>
              <w:rPr>
                <w:rFonts w:hint="default" w:ascii="仿宋" w:hAnsi="仿宋" w:eastAsia="仿宋" w:cs="仿宋"/>
                <w:bCs/>
                <w:sz w:val="24"/>
                <w:lang w:val="en-US" w:eastAsia="zh-CN"/>
              </w:rPr>
            </w:pPr>
            <w:r>
              <w:rPr>
                <w:rFonts w:hint="eastAsia" w:ascii="仿宋" w:hAnsi="仿宋" w:eastAsia="仿宋" w:cs="仿宋"/>
                <w:bCs/>
                <w:sz w:val="24"/>
                <w:lang w:val="en-US" w:eastAsia="zh-CN"/>
              </w:rPr>
              <w:t>201</w:t>
            </w:r>
          </w:p>
        </w:tc>
      </w:tr>
      <w:tr w14:paraId="00E34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88" w:type="dxa"/>
            <w:noWrap/>
            <w:vAlign w:val="center"/>
          </w:tcPr>
          <w:p w14:paraId="71F58899">
            <w:pPr>
              <w:adjustRightInd w:val="0"/>
              <w:snapToGrid w:val="0"/>
              <w:spacing w:line="300" w:lineRule="exact"/>
              <w:jc w:val="center"/>
              <w:rPr>
                <w:rFonts w:ascii="仿宋" w:hAnsi="仿宋" w:eastAsia="仿宋" w:cs="仿宋"/>
                <w:sz w:val="24"/>
              </w:rPr>
            </w:pPr>
            <w:r>
              <w:rPr>
                <w:rFonts w:hint="eastAsia" w:ascii="仿宋" w:hAnsi="仿宋" w:eastAsia="仿宋" w:cs="仿宋"/>
                <w:sz w:val="24"/>
              </w:rPr>
              <w:t>16</w:t>
            </w:r>
          </w:p>
        </w:tc>
        <w:tc>
          <w:tcPr>
            <w:tcW w:w="3223" w:type="dxa"/>
            <w:noWrap/>
            <w:vAlign w:val="center"/>
          </w:tcPr>
          <w:p w14:paraId="5C2E4FF9">
            <w:pPr>
              <w:adjustRightInd w:val="0"/>
              <w:snapToGrid w:val="0"/>
              <w:spacing w:line="300" w:lineRule="exact"/>
              <w:ind w:firstLine="220" w:firstLineChars="100"/>
              <w:jc w:val="left"/>
              <w:rPr>
                <w:rFonts w:ascii="仿宋" w:hAnsi="仿宋" w:eastAsia="仿宋" w:cs="仿宋"/>
                <w:bCs/>
                <w:sz w:val="22"/>
                <w:szCs w:val="21"/>
              </w:rPr>
            </w:pPr>
            <w:r>
              <w:rPr>
                <w:rFonts w:hint="eastAsia" w:ascii="仿宋" w:hAnsi="仿宋" w:eastAsia="仿宋" w:cs="仿宋"/>
                <w:bCs/>
                <w:sz w:val="22"/>
                <w:szCs w:val="21"/>
              </w:rPr>
              <w:t>资源税</w:t>
            </w:r>
          </w:p>
        </w:tc>
        <w:tc>
          <w:tcPr>
            <w:tcW w:w="997" w:type="dxa"/>
            <w:noWrap/>
            <w:vAlign w:val="center"/>
          </w:tcPr>
          <w:p w14:paraId="33B24A64">
            <w:pPr>
              <w:adjustRightInd w:val="0"/>
              <w:snapToGrid w:val="0"/>
              <w:spacing w:line="300" w:lineRule="exact"/>
              <w:jc w:val="left"/>
              <w:rPr>
                <w:rFonts w:hint="default" w:ascii="仿宋" w:hAnsi="仿宋" w:eastAsia="仿宋" w:cs="仿宋"/>
                <w:sz w:val="24"/>
                <w:lang w:val="en-US" w:eastAsia="zh-CN"/>
              </w:rPr>
            </w:pPr>
            <w:r>
              <w:rPr>
                <w:rFonts w:hint="eastAsia" w:ascii="仿宋" w:hAnsi="仿宋" w:eastAsia="仿宋" w:cs="仿宋"/>
                <w:sz w:val="24"/>
                <w:lang w:val="en-US" w:eastAsia="zh-CN"/>
              </w:rPr>
              <w:t>7132</w:t>
            </w:r>
          </w:p>
        </w:tc>
        <w:tc>
          <w:tcPr>
            <w:tcW w:w="2764" w:type="dxa"/>
            <w:noWrap/>
            <w:vAlign w:val="center"/>
          </w:tcPr>
          <w:p w14:paraId="6192CE49">
            <w:pPr>
              <w:adjustRightInd w:val="0"/>
              <w:snapToGrid w:val="0"/>
              <w:spacing w:line="300" w:lineRule="exact"/>
              <w:jc w:val="left"/>
              <w:rPr>
                <w:rFonts w:ascii="仿宋" w:hAnsi="仿宋" w:eastAsia="仿宋" w:cs="仿宋"/>
                <w:bCs/>
                <w:kern w:val="2"/>
                <w:sz w:val="22"/>
                <w:szCs w:val="21"/>
                <w:lang w:val="en-US" w:eastAsia="zh-CN" w:bidi="ar-SA"/>
              </w:rPr>
            </w:pPr>
            <w:r>
              <w:rPr>
                <w:rFonts w:hint="eastAsia" w:ascii="仿宋" w:hAnsi="仿宋" w:eastAsia="仿宋" w:cs="仿宋"/>
                <w:bCs/>
                <w:sz w:val="22"/>
                <w:szCs w:val="21"/>
              </w:rPr>
              <w:t>自然资源海洋气象等事务</w:t>
            </w:r>
          </w:p>
        </w:tc>
        <w:tc>
          <w:tcPr>
            <w:tcW w:w="1206" w:type="dxa"/>
            <w:noWrap/>
            <w:vAlign w:val="center"/>
          </w:tcPr>
          <w:p w14:paraId="79FB4669">
            <w:pPr>
              <w:adjustRightInd w:val="0"/>
              <w:snapToGrid w:val="0"/>
              <w:spacing w:line="300" w:lineRule="exact"/>
              <w:jc w:val="left"/>
              <w:rPr>
                <w:rFonts w:hint="eastAsia" w:ascii="仿宋" w:hAnsi="仿宋" w:eastAsia="仿宋" w:cs="仿宋"/>
                <w:bCs/>
                <w:kern w:val="2"/>
                <w:sz w:val="24"/>
                <w:szCs w:val="22"/>
                <w:lang w:val="en-US" w:eastAsia="zh-CN" w:bidi="ar-SA"/>
              </w:rPr>
            </w:pPr>
            <w:r>
              <w:rPr>
                <w:rFonts w:hint="eastAsia" w:ascii="仿宋" w:hAnsi="仿宋" w:eastAsia="仿宋" w:cs="仿宋"/>
                <w:bCs/>
                <w:sz w:val="24"/>
                <w:lang w:val="en-US" w:eastAsia="zh-CN"/>
              </w:rPr>
              <w:t>4923</w:t>
            </w:r>
          </w:p>
        </w:tc>
      </w:tr>
      <w:tr w14:paraId="15195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88" w:type="dxa"/>
            <w:noWrap/>
            <w:vAlign w:val="center"/>
          </w:tcPr>
          <w:p w14:paraId="5A6AC09A">
            <w:pPr>
              <w:adjustRightInd w:val="0"/>
              <w:snapToGrid w:val="0"/>
              <w:spacing w:line="300" w:lineRule="exact"/>
              <w:jc w:val="center"/>
              <w:rPr>
                <w:rFonts w:ascii="仿宋" w:hAnsi="仿宋" w:eastAsia="仿宋" w:cs="仿宋"/>
                <w:sz w:val="24"/>
              </w:rPr>
            </w:pPr>
            <w:r>
              <w:rPr>
                <w:rFonts w:hint="eastAsia" w:ascii="仿宋" w:hAnsi="仿宋" w:eastAsia="仿宋" w:cs="仿宋"/>
                <w:sz w:val="24"/>
              </w:rPr>
              <w:t>17</w:t>
            </w:r>
          </w:p>
        </w:tc>
        <w:tc>
          <w:tcPr>
            <w:tcW w:w="3223" w:type="dxa"/>
            <w:noWrap/>
            <w:vAlign w:val="center"/>
          </w:tcPr>
          <w:p w14:paraId="00390706">
            <w:pPr>
              <w:adjustRightInd w:val="0"/>
              <w:snapToGrid w:val="0"/>
              <w:spacing w:line="300" w:lineRule="exact"/>
              <w:jc w:val="left"/>
              <w:rPr>
                <w:rFonts w:ascii="仿宋" w:hAnsi="仿宋" w:eastAsia="仿宋" w:cs="仿宋"/>
                <w:bCs/>
                <w:sz w:val="22"/>
                <w:szCs w:val="21"/>
              </w:rPr>
            </w:pPr>
            <w:r>
              <w:rPr>
                <w:rFonts w:hint="eastAsia" w:ascii="仿宋" w:hAnsi="仿宋" w:eastAsia="仿宋" w:cs="仿宋"/>
                <w:b/>
                <w:sz w:val="22"/>
                <w:szCs w:val="21"/>
              </w:rPr>
              <w:t>非税收入</w:t>
            </w:r>
          </w:p>
        </w:tc>
        <w:tc>
          <w:tcPr>
            <w:tcW w:w="997" w:type="dxa"/>
            <w:noWrap/>
            <w:vAlign w:val="center"/>
          </w:tcPr>
          <w:p w14:paraId="34042C95">
            <w:pPr>
              <w:adjustRightInd w:val="0"/>
              <w:snapToGrid w:val="0"/>
              <w:spacing w:line="300" w:lineRule="exact"/>
              <w:jc w:val="left"/>
              <w:rPr>
                <w:rFonts w:hint="default" w:ascii="仿宋" w:hAnsi="仿宋" w:eastAsia="仿宋" w:cs="仿宋"/>
                <w:sz w:val="24"/>
                <w:lang w:val="en-US" w:eastAsia="zh-CN"/>
              </w:rPr>
            </w:pPr>
            <w:r>
              <w:rPr>
                <w:rFonts w:hint="eastAsia" w:ascii="仿宋" w:hAnsi="仿宋" w:eastAsia="仿宋" w:cs="仿宋"/>
                <w:sz w:val="24"/>
                <w:lang w:val="en-US" w:eastAsia="zh-CN"/>
              </w:rPr>
              <w:t>44881</w:t>
            </w:r>
          </w:p>
        </w:tc>
        <w:tc>
          <w:tcPr>
            <w:tcW w:w="2764" w:type="dxa"/>
            <w:noWrap/>
            <w:vAlign w:val="center"/>
          </w:tcPr>
          <w:p w14:paraId="615F5E88">
            <w:pPr>
              <w:adjustRightInd w:val="0"/>
              <w:snapToGrid w:val="0"/>
              <w:spacing w:line="300" w:lineRule="exact"/>
              <w:jc w:val="left"/>
              <w:rPr>
                <w:rFonts w:ascii="仿宋" w:hAnsi="仿宋" w:eastAsia="仿宋" w:cs="仿宋"/>
                <w:bCs/>
                <w:kern w:val="2"/>
                <w:sz w:val="22"/>
                <w:szCs w:val="21"/>
                <w:lang w:val="en-US" w:eastAsia="zh-CN" w:bidi="ar-SA"/>
              </w:rPr>
            </w:pPr>
            <w:r>
              <w:rPr>
                <w:rFonts w:hint="eastAsia" w:ascii="仿宋" w:hAnsi="仿宋" w:eastAsia="仿宋" w:cs="仿宋"/>
                <w:bCs/>
                <w:sz w:val="22"/>
                <w:szCs w:val="21"/>
              </w:rPr>
              <w:t>住房保障支出</w:t>
            </w:r>
          </w:p>
        </w:tc>
        <w:tc>
          <w:tcPr>
            <w:tcW w:w="1206" w:type="dxa"/>
            <w:noWrap/>
            <w:vAlign w:val="center"/>
          </w:tcPr>
          <w:p w14:paraId="5E17B26F">
            <w:pPr>
              <w:adjustRightInd w:val="0"/>
              <w:snapToGrid w:val="0"/>
              <w:spacing w:line="300" w:lineRule="exact"/>
              <w:jc w:val="left"/>
              <w:rPr>
                <w:rFonts w:hint="default" w:ascii="仿宋" w:hAnsi="仿宋" w:eastAsia="仿宋" w:cs="仿宋"/>
                <w:bCs/>
                <w:kern w:val="2"/>
                <w:sz w:val="24"/>
                <w:szCs w:val="22"/>
                <w:lang w:val="en-US" w:eastAsia="zh-CN" w:bidi="ar-SA"/>
              </w:rPr>
            </w:pPr>
            <w:r>
              <w:rPr>
                <w:rFonts w:hint="eastAsia" w:ascii="仿宋" w:hAnsi="仿宋" w:eastAsia="仿宋" w:cs="仿宋"/>
                <w:bCs/>
                <w:sz w:val="24"/>
                <w:lang w:val="en-US" w:eastAsia="zh-CN"/>
              </w:rPr>
              <w:t>6409</w:t>
            </w:r>
          </w:p>
        </w:tc>
      </w:tr>
      <w:tr w14:paraId="5B83D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88" w:type="dxa"/>
            <w:noWrap/>
            <w:vAlign w:val="center"/>
          </w:tcPr>
          <w:p w14:paraId="3E8A2224">
            <w:pPr>
              <w:adjustRightInd w:val="0"/>
              <w:snapToGrid w:val="0"/>
              <w:spacing w:line="300" w:lineRule="exact"/>
              <w:jc w:val="center"/>
              <w:rPr>
                <w:rFonts w:ascii="仿宋" w:hAnsi="仿宋" w:eastAsia="仿宋" w:cs="仿宋"/>
                <w:sz w:val="24"/>
              </w:rPr>
            </w:pPr>
            <w:r>
              <w:rPr>
                <w:rFonts w:hint="eastAsia" w:ascii="仿宋" w:hAnsi="仿宋" w:eastAsia="仿宋" w:cs="仿宋"/>
                <w:sz w:val="24"/>
              </w:rPr>
              <w:t>18</w:t>
            </w:r>
          </w:p>
        </w:tc>
        <w:tc>
          <w:tcPr>
            <w:tcW w:w="3223" w:type="dxa"/>
            <w:noWrap/>
            <w:vAlign w:val="center"/>
          </w:tcPr>
          <w:p w14:paraId="600A2924">
            <w:pPr>
              <w:adjustRightInd w:val="0"/>
              <w:snapToGrid w:val="0"/>
              <w:spacing w:line="300" w:lineRule="exact"/>
              <w:ind w:firstLine="220" w:firstLineChars="100"/>
              <w:jc w:val="left"/>
              <w:rPr>
                <w:rFonts w:ascii="仿宋" w:hAnsi="仿宋" w:eastAsia="仿宋" w:cs="仿宋"/>
                <w:bCs/>
                <w:sz w:val="22"/>
                <w:szCs w:val="21"/>
              </w:rPr>
            </w:pPr>
            <w:r>
              <w:rPr>
                <w:rFonts w:hint="eastAsia" w:ascii="仿宋" w:hAnsi="仿宋" w:eastAsia="仿宋" w:cs="仿宋"/>
                <w:bCs/>
                <w:sz w:val="22"/>
                <w:szCs w:val="21"/>
              </w:rPr>
              <w:t>专项收入</w:t>
            </w:r>
          </w:p>
        </w:tc>
        <w:tc>
          <w:tcPr>
            <w:tcW w:w="997" w:type="dxa"/>
            <w:noWrap/>
            <w:vAlign w:val="center"/>
          </w:tcPr>
          <w:p w14:paraId="17C64EF7">
            <w:pPr>
              <w:adjustRightInd w:val="0"/>
              <w:snapToGrid w:val="0"/>
              <w:spacing w:line="300" w:lineRule="exact"/>
              <w:jc w:val="left"/>
              <w:rPr>
                <w:rFonts w:hint="default" w:ascii="仿宋" w:hAnsi="仿宋" w:eastAsia="仿宋" w:cs="仿宋"/>
                <w:sz w:val="24"/>
                <w:lang w:val="en-US" w:eastAsia="zh-CN"/>
              </w:rPr>
            </w:pPr>
            <w:r>
              <w:rPr>
                <w:rFonts w:hint="eastAsia" w:ascii="仿宋" w:hAnsi="仿宋" w:eastAsia="仿宋" w:cs="仿宋"/>
                <w:sz w:val="24"/>
                <w:lang w:val="en-US" w:eastAsia="zh-CN"/>
              </w:rPr>
              <w:t>6087</w:t>
            </w:r>
          </w:p>
        </w:tc>
        <w:tc>
          <w:tcPr>
            <w:tcW w:w="2764" w:type="dxa"/>
            <w:noWrap/>
            <w:vAlign w:val="center"/>
          </w:tcPr>
          <w:p w14:paraId="457ACCBE">
            <w:pPr>
              <w:adjustRightInd w:val="0"/>
              <w:snapToGrid w:val="0"/>
              <w:spacing w:line="300" w:lineRule="exact"/>
              <w:jc w:val="left"/>
              <w:rPr>
                <w:rFonts w:ascii="仿宋" w:hAnsi="仿宋" w:eastAsia="仿宋" w:cs="仿宋"/>
                <w:bCs/>
                <w:kern w:val="2"/>
                <w:sz w:val="22"/>
                <w:szCs w:val="21"/>
                <w:lang w:val="en-US" w:eastAsia="zh-CN" w:bidi="ar-SA"/>
              </w:rPr>
            </w:pPr>
            <w:r>
              <w:rPr>
                <w:rFonts w:hint="eastAsia" w:ascii="仿宋" w:hAnsi="仿宋" w:eastAsia="仿宋" w:cs="仿宋"/>
                <w:bCs/>
                <w:sz w:val="22"/>
                <w:szCs w:val="21"/>
              </w:rPr>
              <w:t>粮油物资储备支出</w:t>
            </w:r>
          </w:p>
        </w:tc>
        <w:tc>
          <w:tcPr>
            <w:tcW w:w="1206" w:type="dxa"/>
            <w:noWrap/>
            <w:vAlign w:val="center"/>
          </w:tcPr>
          <w:p w14:paraId="1850AF06">
            <w:pPr>
              <w:adjustRightInd w:val="0"/>
              <w:snapToGrid w:val="0"/>
              <w:spacing w:line="300" w:lineRule="exact"/>
              <w:jc w:val="left"/>
              <w:rPr>
                <w:rFonts w:hint="default" w:ascii="仿宋" w:hAnsi="仿宋" w:eastAsia="仿宋" w:cs="仿宋"/>
                <w:bCs/>
                <w:kern w:val="2"/>
                <w:sz w:val="24"/>
                <w:szCs w:val="22"/>
                <w:lang w:val="en-US" w:eastAsia="zh-CN" w:bidi="ar-SA"/>
              </w:rPr>
            </w:pPr>
            <w:r>
              <w:rPr>
                <w:rFonts w:hint="eastAsia" w:ascii="仿宋" w:hAnsi="仿宋" w:eastAsia="仿宋" w:cs="仿宋"/>
                <w:bCs/>
                <w:sz w:val="24"/>
                <w:lang w:val="en-US" w:eastAsia="zh-CN"/>
              </w:rPr>
              <w:t>1247</w:t>
            </w:r>
          </w:p>
        </w:tc>
      </w:tr>
      <w:tr w14:paraId="5397F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88" w:type="dxa"/>
            <w:noWrap/>
            <w:vAlign w:val="center"/>
          </w:tcPr>
          <w:p w14:paraId="322D9A6E">
            <w:pPr>
              <w:adjustRightInd w:val="0"/>
              <w:snapToGrid w:val="0"/>
              <w:spacing w:line="300" w:lineRule="exact"/>
              <w:jc w:val="center"/>
              <w:rPr>
                <w:rFonts w:ascii="仿宋" w:hAnsi="仿宋" w:eastAsia="仿宋" w:cs="仿宋"/>
                <w:sz w:val="24"/>
              </w:rPr>
            </w:pPr>
            <w:r>
              <w:rPr>
                <w:rFonts w:hint="eastAsia" w:ascii="仿宋" w:hAnsi="仿宋" w:eastAsia="仿宋" w:cs="仿宋"/>
                <w:sz w:val="24"/>
              </w:rPr>
              <w:t>19</w:t>
            </w:r>
          </w:p>
        </w:tc>
        <w:tc>
          <w:tcPr>
            <w:tcW w:w="3223" w:type="dxa"/>
            <w:noWrap/>
            <w:vAlign w:val="center"/>
          </w:tcPr>
          <w:p w14:paraId="3304F5A2">
            <w:pPr>
              <w:adjustRightInd w:val="0"/>
              <w:snapToGrid w:val="0"/>
              <w:spacing w:line="300" w:lineRule="exact"/>
              <w:ind w:firstLine="220" w:firstLineChars="100"/>
              <w:jc w:val="left"/>
              <w:rPr>
                <w:rFonts w:ascii="仿宋" w:hAnsi="仿宋" w:eastAsia="仿宋" w:cs="仿宋"/>
                <w:bCs/>
                <w:sz w:val="22"/>
                <w:szCs w:val="21"/>
              </w:rPr>
            </w:pPr>
            <w:r>
              <w:rPr>
                <w:rFonts w:hint="eastAsia" w:ascii="仿宋" w:hAnsi="仿宋" w:eastAsia="仿宋" w:cs="仿宋"/>
                <w:bCs/>
                <w:sz w:val="22"/>
                <w:szCs w:val="21"/>
              </w:rPr>
              <w:t>行政事业性收费收入</w:t>
            </w:r>
          </w:p>
        </w:tc>
        <w:tc>
          <w:tcPr>
            <w:tcW w:w="997" w:type="dxa"/>
            <w:noWrap/>
            <w:vAlign w:val="center"/>
          </w:tcPr>
          <w:p w14:paraId="16EC9BA6">
            <w:pPr>
              <w:adjustRightInd w:val="0"/>
              <w:snapToGrid w:val="0"/>
              <w:spacing w:line="300" w:lineRule="exact"/>
              <w:jc w:val="left"/>
              <w:rPr>
                <w:rFonts w:hint="default" w:ascii="仿宋" w:hAnsi="仿宋" w:eastAsia="仿宋" w:cs="仿宋"/>
                <w:sz w:val="24"/>
                <w:lang w:val="en-US" w:eastAsia="zh-CN"/>
              </w:rPr>
            </w:pPr>
            <w:r>
              <w:rPr>
                <w:rFonts w:hint="eastAsia" w:ascii="仿宋" w:hAnsi="仿宋" w:eastAsia="仿宋" w:cs="仿宋"/>
                <w:sz w:val="24"/>
                <w:lang w:val="en-US" w:eastAsia="zh-CN"/>
              </w:rPr>
              <w:t>2379</w:t>
            </w:r>
          </w:p>
        </w:tc>
        <w:tc>
          <w:tcPr>
            <w:tcW w:w="2764" w:type="dxa"/>
            <w:noWrap/>
            <w:vAlign w:val="center"/>
          </w:tcPr>
          <w:p w14:paraId="2ACCE394">
            <w:pPr>
              <w:adjustRightInd w:val="0"/>
              <w:snapToGrid w:val="0"/>
              <w:spacing w:line="300" w:lineRule="exact"/>
              <w:jc w:val="left"/>
              <w:rPr>
                <w:rFonts w:ascii="仿宋" w:hAnsi="仿宋" w:eastAsia="仿宋" w:cs="仿宋"/>
                <w:bCs/>
                <w:kern w:val="2"/>
                <w:sz w:val="22"/>
                <w:szCs w:val="21"/>
                <w:lang w:val="en-US" w:eastAsia="zh-CN" w:bidi="ar-SA"/>
              </w:rPr>
            </w:pPr>
            <w:r>
              <w:rPr>
                <w:rFonts w:hint="eastAsia" w:ascii="仿宋" w:hAnsi="仿宋" w:eastAsia="仿宋" w:cs="仿宋"/>
                <w:bCs/>
                <w:sz w:val="22"/>
                <w:szCs w:val="21"/>
              </w:rPr>
              <w:t>灾害防治及应急管理支出</w:t>
            </w:r>
          </w:p>
        </w:tc>
        <w:tc>
          <w:tcPr>
            <w:tcW w:w="1206" w:type="dxa"/>
            <w:noWrap/>
            <w:vAlign w:val="center"/>
          </w:tcPr>
          <w:p w14:paraId="3F785900">
            <w:pPr>
              <w:adjustRightInd w:val="0"/>
              <w:snapToGrid w:val="0"/>
              <w:spacing w:line="300" w:lineRule="exact"/>
              <w:jc w:val="left"/>
              <w:rPr>
                <w:rFonts w:hint="default" w:ascii="仿宋" w:hAnsi="仿宋" w:eastAsia="仿宋" w:cs="仿宋"/>
                <w:bCs/>
                <w:kern w:val="2"/>
                <w:sz w:val="24"/>
                <w:szCs w:val="22"/>
                <w:lang w:val="en-US" w:eastAsia="zh-CN" w:bidi="ar-SA"/>
              </w:rPr>
            </w:pPr>
            <w:r>
              <w:rPr>
                <w:rFonts w:hint="eastAsia" w:ascii="仿宋" w:hAnsi="仿宋" w:eastAsia="仿宋" w:cs="仿宋"/>
                <w:bCs/>
                <w:sz w:val="24"/>
                <w:lang w:val="en-US" w:eastAsia="zh-CN"/>
              </w:rPr>
              <w:t>2446</w:t>
            </w:r>
          </w:p>
        </w:tc>
      </w:tr>
      <w:tr w14:paraId="31095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88" w:type="dxa"/>
            <w:noWrap/>
            <w:vAlign w:val="center"/>
          </w:tcPr>
          <w:p w14:paraId="2B4FBAC1">
            <w:pPr>
              <w:adjustRightInd w:val="0"/>
              <w:snapToGrid w:val="0"/>
              <w:spacing w:line="300" w:lineRule="exact"/>
              <w:jc w:val="center"/>
              <w:rPr>
                <w:rFonts w:ascii="仿宋" w:hAnsi="仿宋" w:eastAsia="仿宋" w:cs="仿宋"/>
                <w:sz w:val="24"/>
              </w:rPr>
            </w:pPr>
            <w:r>
              <w:rPr>
                <w:rFonts w:hint="eastAsia" w:ascii="仿宋" w:hAnsi="仿宋" w:eastAsia="仿宋" w:cs="仿宋"/>
                <w:sz w:val="24"/>
              </w:rPr>
              <w:t>20</w:t>
            </w:r>
          </w:p>
        </w:tc>
        <w:tc>
          <w:tcPr>
            <w:tcW w:w="3223" w:type="dxa"/>
            <w:noWrap/>
            <w:vAlign w:val="center"/>
          </w:tcPr>
          <w:p w14:paraId="6BB78063">
            <w:pPr>
              <w:adjustRightInd w:val="0"/>
              <w:snapToGrid w:val="0"/>
              <w:spacing w:line="300" w:lineRule="exact"/>
              <w:ind w:firstLine="220" w:firstLineChars="100"/>
              <w:jc w:val="left"/>
              <w:rPr>
                <w:rFonts w:ascii="仿宋" w:hAnsi="仿宋" w:eastAsia="仿宋" w:cs="仿宋"/>
                <w:bCs/>
                <w:sz w:val="22"/>
                <w:szCs w:val="21"/>
              </w:rPr>
            </w:pPr>
            <w:r>
              <w:rPr>
                <w:rFonts w:hint="eastAsia" w:ascii="仿宋" w:hAnsi="仿宋" w:eastAsia="仿宋" w:cs="仿宋"/>
                <w:bCs/>
                <w:sz w:val="22"/>
                <w:szCs w:val="21"/>
              </w:rPr>
              <w:t>罚没收入</w:t>
            </w:r>
          </w:p>
        </w:tc>
        <w:tc>
          <w:tcPr>
            <w:tcW w:w="997" w:type="dxa"/>
            <w:noWrap/>
            <w:vAlign w:val="center"/>
          </w:tcPr>
          <w:p w14:paraId="7F7329E7">
            <w:pPr>
              <w:adjustRightInd w:val="0"/>
              <w:snapToGrid w:val="0"/>
              <w:spacing w:line="300" w:lineRule="exact"/>
              <w:jc w:val="left"/>
              <w:rPr>
                <w:rFonts w:hint="default" w:ascii="仿宋" w:hAnsi="仿宋" w:eastAsia="仿宋" w:cs="仿宋"/>
                <w:sz w:val="24"/>
                <w:lang w:val="en-US" w:eastAsia="zh-CN"/>
              </w:rPr>
            </w:pPr>
            <w:r>
              <w:rPr>
                <w:rFonts w:hint="eastAsia" w:ascii="仿宋" w:hAnsi="仿宋" w:eastAsia="仿宋" w:cs="仿宋"/>
                <w:sz w:val="24"/>
                <w:lang w:val="en-US" w:eastAsia="zh-CN"/>
              </w:rPr>
              <w:t>7706</w:t>
            </w:r>
          </w:p>
        </w:tc>
        <w:tc>
          <w:tcPr>
            <w:tcW w:w="2764" w:type="dxa"/>
            <w:noWrap/>
            <w:vAlign w:val="center"/>
          </w:tcPr>
          <w:p w14:paraId="3A2849EB">
            <w:pPr>
              <w:adjustRightInd w:val="0"/>
              <w:snapToGrid w:val="0"/>
              <w:spacing w:line="300" w:lineRule="exact"/>
              <w:jc w:val="left"/>
              <w:rPr>
                <w:rFonts w:ascii="仿宋" w:hAnsi="仿宋" w:eastAsia="仿宋" w:cs="仿宋"/>
                <w:bCs/>
                <w:kern w:val="2"/>
                <w:sz w:val="22"/>
                <w:szCs w:val="21"/>
                <w:lang w:val="en-US" w:eastAsia="zh-CN" w:bidi="ar-SA"/>
              </w:rPr>
            </w:pPr>
            <w:r>
              <w:rPr>
                <w:rFonts w:hint="eastAsia" w:ascii="仿宋" w:hAnsi="仿宋" w:eastAsia="仿宋" w:cs="仿宋"/>
                <w:bCs/>
                <w:sz w:val="22"/>
                <w:szCs w:val="21"/>
              </w:rPr>
              <w:t>债务付息支出</w:t>
            </w:r>
          </w:p>
        </w:tc>
        <w:tc>
          <w:tcPr>
            <w:tcW w:w="1206" w:type="dxa"/>
            <w:noWrap/>
            <w:vAlign w:val="center"/>
          </w:tcPr>
          <w:p w14:paraId="080B7273">
            <w:pPr>
              <w:adjustRightInd w:val="0"/>
              <w:snapToGrid w:val="0"/>
              <w:spacing w:line="300" w:lineRule="exact"/>
              <w:jc w:val="left"/>
              <w:rPr>
                <w:rFonts w:hint="default" w:ascii="仿宋" w:hAnsi="仿宋" w:eastAsia="仿宋" w:cs="仿宋"/>
                <w:bCs/>
                <w:kern w:val="2"/>
                <w:sz w:val="24"/>
                <w:szCs w:val="22"/>
                <w:lang w:val="en-US" w:eastAsia="zh-CN" w:bidi="ar-SA"/>
              </w:rPr>
            </w:pPr>
            <w:r>
              <w:rPr>
                <w:rFonts w:hint="eastAsia" w:ascii="仿宋" w:hAnsi="仿宋" w:eastAsia="仿宋" w:cs="仿宋"/>
                <w:bCs/>
                <w:sz w:val="24"/>
                <w:lang w:val="en-US" w:eastAsia="zh-CN"/>
              </w:rPr>
              <w:t>5067</w:t>
            </w:r>
          </w:p>
        </w:tc>
      </w:tr>
      <w:tr w14:paraId="37DD5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88" w:type="dxa"/>
            <w:noWrap/>
            <w:vAlign w:val="center"/>
          </w:tcPr>
          <w:p w14:paraId="7DB7A7F6">
            <w:pPr>
              <w:adjustRightInd w:val="0"/>
              <w:snapToGrid w:val="0"/>
              <w:spacing w:line="300" w:lineRule="exact"/>
              <w:jc w:val="center"/>
              <w:rPr>
                <w:rFonts w:ascii="仿宋" w:hAnsi="仿宋" w:eastAsia="仿宋" w:cs="仿宋"/>
                <w:sz w:val="24"/>
              </w:rPr>
            </w:pPr>
            <w:r>
              <w:rPr>
                <w:rFonts w:hint="eastAsia" w:ascii="仿宋" w:hAnsi="仿宋" w:eastAsia="仿宋" w:cs="仿宋"/>
                <w:sz w:val="24"/>
              </w:rPr>
              <w:t>21</w:t>
            </w:r>
          </w:p>
        </w:tc>
        <w:tc>
          <w:tcPr>
            <w:tcW w:w="3223" w:type="dxa"/>
            <w:noWrap/>
            <w:vAlign w:val="center"/>
          </w:tcPr>
          <w:p w14:paraId="4132CB55">
            <w:pPr>
              <w:adjustRightInd w:val="0"/>
              <w:snapToGrid w:val="0"/>
              <w:spacing w:line="300" w:lineRule="exact"/>
              <w:ind w:firstLine="200" w:firstLineChars="100"/>
              <w:jc w:val="left"/>
              <w:rPr>
                <w:rFonts w:ascii="仿宋" w:hAnsi="仿宋" w:eastAsia="仿宋" w:cs="仿宋"/>
                <w:bCs/>
                <w:sz w:val="22"/>
                <w:szCs w:val="21"/>
              </w:rPr>
            </w:pPr>
            <w:r>
              <w:rPr>
                <w:rFonts w:hint="eastAsia" w:ascii="仿宋" w:hAnsi="仿宋" w:eastAsia="仿宋" w:cs="仿宋"/>
                <w:bCs/>
                <w:sz w:val="20"/>
                <w:szCs w:val="20"/>
              </w:rPr>
              <w:t>国有资源（资产）有偿使用收入</w:t>
            </w:r>
          </w:p>
        </w:tc>
        <w:tc>
          <w:tcPr>
            <w:tcW w:w="997" w:type="dxa"/>
            <w:noWrap/>
            <w:vAlign w:val="center"/>
          </w:tcPr>
          <w:p w14:paraId="4EC77BDE">
            <w:pPr>
              <w:adjustRightInd w:val="0"/>
              <w:snapToGrid w:val="0"/>
              <w:spacing w:line="300" w:lineRule="exact"/>
              <w:jc w:val="left"/>
              <w:rPr>
                <w:rFonts w:hint="default" w:ascii="仿宋" w:hAnsi="仿宋" w:eastAsia="仿宋" w:cs="仿宋"/>
                <w:sz w:val="24"/>
                <w:lang w:val="en-US" w:eastAsia="zh-CN"/>
              </w:rPr>
            </w:pPr>
            <w:r>
              <w:rPr>
                <w:rFonts w:hint="eastAsia" w:ascii="仿宋" w:hAnsi="仿宋" w:eastAsia="仿宋" w:cs="仿宋"/>
                <w:sz w:val="24"/>
                <w:lang w:val="en-US" w:eastAsia="zh-CN"/>
              </w:rPr>
              <w:t>20771</w:t>
            </w:r>
          </w:p>
        </w:tc>
        <w:tc>
          <w:tcPr>
            <w:tcW w:w="2764" w:type="dxa"/>
            <w:noWrap/>
            <w:vAlign w:val="center"/>
          </w:tcPr>
          <w:p w14:paraId="7A3D9DF9">
            <w:pPr>
              <w:adjustRightInd w:val="0"/>
              <w:snapToGrid w:val="0"/>
              <w:spacing w:line="300" w:lineRule="exact"/>
              <w:jc w:val="left"/>
              <w:rPr>
                <w:rFonts w:hint="eastAsia" w:ascii="仿宋" w:hAnsi="仿宋" w:eastAsia="仿宋" w:cs="仿宋"/>
                <w:bCs/>
                <w:kern w:val="2"/>
                <w:sz w:val="22"/>
                <w:szCs w:val="21"/>
                <w:lang w:val="en-US" w:eastAsia="zh-CN" w:bidi="ar-SA"/>
              </w:rPr>
            </w:pPr>
            <w:r>
              <w:rPr>
                <w:rFonts w:hint="eastAsia" w:ascii="仿宋" w:hAnsi="仿宋" w:eastAsia="仿宋" w:cs="仿宋"/>
                <w:bCs/>
                <w:sz w:val="22"/>
                <w:szCs w:val="21"/>
              </w:rPr>
              <w:t>债务发行费用支出</w:t>
            </w:r>
          </w:p>
        </w:tc>
        <w:tc>
          <w:tcPr>
            <w:tcW w:w="1206" w:type="dxa"/>
            <w:noWrap/>
            <w:vAlign w:val="center"/>
          </w:tcPr>
          <w:p w14:paraId="2CF3431B">
            <w:pPr>
              <w:adjustRightInd w:val="0"/>
              <w:snapToGrid w:val="0"/>
              <w:spacing w:line="300" w:lineRule="exact"/>
              <w:jc w:val="left"/>
              <w:rPr>
                <w:rFonts w:hint="default" w:ascii="仿宋" w:hAnsi="仿宋" w:eastAsia="仿宋" w:cs="仿宋"/>
                <w:bCs/>
                <w:kern w:val="2"/>
                <w:sz w:val="24"/>
                <w:szCs w:val="24"/>
                <w:lang w:val="en-US" w:eastAsia="zh-CN" w:bidi="ar-SA"/>
              </w:rPr>
            </w:pPr>
            <w:r>
              <w:rPr>
                <w:rFonts w:hint="eastAsia" w:ascii="仿宋" w:hAnsi="仿宋" w:eastAsia="仿宋" w:cs="仿宋"/>
                <w:bCs/>
                <w:sz w:val="24"/>
              </w:rPr>
              <w:t>1</w:t>
            </w:r>
          </w:p>
        </w:tc>
      </w:tr>
      <w:tr w14:paraId="0EAD2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88" w:type="dxa"/>
            <w:noWrap/>
            <w:vAlign w:val="center"/>
          </w:tcPr>
          <w:p w14:paraId="424ECF6B">
            <w:pPr>
              <w:adjustRightInd w:val="0"/>
              <w:snapToGrid w:val="0"/>
              <w:spacing w:line="300" w:lineRule="exact"/>
              <w:jc w:val="center"/>
              <w:rPr>
                <w:rFonts w:hint="default" w:ascii="仿宋" w:hAnsi="仿宋" w:eastAsia="仿宋" w:cs="仿宋"/>
                <w:sz w:val="24"/>
                <w:lang w:val="en-US" w:eastAsia="zh-CN"/>
              </w:rPr>
            </w:pPr>
            <w:r>
              <w:rPr>
                <w:rFonts w:hint="eastAsia" w:ascii="仿宋" w:hAnsi="仿宋" w:eastAsia="仿宋" w:cs="仿宋"/>
                <w:sz w:val="24"/>
                <w:lang w:val="en-US" w:eastAsia="zh-CN"/>
              </w:rPr>
              <w:t>22</w:t>
            </w:r>
          </w:p>
        </w:tc>
        <w:tc>
          <w:tcPr>
            <w:tcW w:w="3223" w:type="dxa"/>
            <w:noWrap/>
            <w:vAlign w:val="center"/>
          </w:tcPr>
          <w:p w14:paraId="258AE826">
            <w:pPr>
              <w:adjustRightInd w:val="0"/>
              <w:snapToGrid w:val="0"/>
              <w:spacing w:line="300" w:lineRule="exact"/>
              <w:ind w:firstLine="200" w:firstLineChars="100"/>
              <w:jc w:val="left"/>
              <w:rPr>
                <w:rFonts w:hint="default" w:ascii="仿宋" w:hAnsi="仿宋" w:eastAsia="仿宋" w:cs="仿宋"/>
                <w:bCs/>
                <w:sz w:val="20"/>
                <w:szCs w:val="20"/>
                <w:lang w:val="en-US" w:eastAsia="zh-CN"/>
              </w:rPr>
            </w:pPr>
            <w:r>
              <w:rPr>
                <w:rFonts w:hint="eastAsia" w:ascii="仿宋" w:hAnsi="仿宋" w:eastAsia="仿宋" w:cs="仿宋"/>
                <w:bCs/>
                <w:sz w:val="20"/>
                <w:szCs w:val="20"/>
                <w:lang w:val="en-US" w:eastAsia="zh-CN"/>
              </w:rPr>
              <w:t>捐赠收入</w:t>
            </w:r>
          </w:p>
        </w:tc>
        <w:tc>
          <w:tcPr>
            <w:tcW w:w="997" w:type="dxa"/>
            <w:noWrap/>
            <w:vAlign w:val="center"/>
          </w:tcPr>
          <w:p w14:paraId="6833D56C">
            <w:pPr>
              <w:adjustRightInd w:val="0"/>
              <w:snapToGrid w:val="0"/>
              <w:spacing w:line="300" w:lineRule="exact"/>
              <w:jc w:val="left"/>
              <w:rPr>
                <w:rFonts w:hint="default" w:ascii="仿宋" w:hAnsi="仿宋" w:eastAsia="仿宋" w:cs="仿宋"/>
                <w:sz w:val="24"/>
                <w:lang w:val="en-US" w:eastAsia="zh-CN"/>
              </w:rPr>
            </w:pPr>
            <w:r>
              <w:rPr>
                <w:rFonts w:hint="eastAsia" w:ascii="仿宋" w:hAnsi="仿宋" w:eastAsia="仿宋" w:cs="仿宋"/>
                <w:sz w:val="24"/>
                <w:lang w:val="en-US" w:eastAsia="zh-CN"/>
              </w:rPr>
              <w:t>6519</w:t>
            </w:r>
          </w:p>
        </w:tc>
        <w:tc>
          <w:tcPr>
            <w:tcW w:w="2764" w:type="dxa"/>
            <w:shd w:val="clear" w:color="auto" w:fill="auto"/>
            <w:noWrap/>
            <w:vAlign w:val="center"/>
          </w:tcPr>
          <w:p w14:paraId="082C9BBC">
            <w:pPr>
              <w:adjustRightInd w:val="0"/>
              <w:snapToGrid w:val="0"/>
              <w:spacing w:line="300" w:lineRule="exact"/>
              <w:jc w:val="left"/>
              <w:rPr>
                <w:rFonts w:hint="eastAsia" w:ascii="仿宋" w:hAnsi="仿宋" w:eastAsia="仿宋" w:cs="仿宋"/>
                <w:bCs/>
                <w:kern w:val="2"/>
                <w:sz w:val="22"/>
                <w:szCs w:val="21"/>
                <w:lang w:val="en-US" w:eastAsia="zh-CN" w:bidi="ar-SA"/>
              </w:rPr>
            </w:pPr>
          </w:p>
        </w:tc>
        <w:tc>
          <w:tcPr>
            <w:tcW w:w="1206" w:type="dxa"/>
            <w:shd w:val="clear" w:color="auto" w:fill="auto"/>
            <w:noWrap/>
            <w:vAlign w:val="center"/>
          </w:tcPr>
          <w:p w14:paraId="19518305">
            <w:pPr>
              <w:adjustRightInd w:val="0"/>
              <w:snapToGrid w:val="0"/>
              <w:spacing w:line="300" w:lineRule="exact"/>
              <w:jc w:val="left"/>
              <w:rPr>
                <w:rFonts w:hint="eastAsia" w:ascii="仿宋" w:hAnsi="仿宋" w:eastAsia="仿宋" w:cs="仿宋"/>
                <w:bCs/>
                <w:kern w:val="2"/>
                <w:sz w:val="24"/>
                <w:szCs w:val="24"/>
                <w:lang w:val="en-US" w:eastAsia="zh-CN" w:bidi="ar-SA"/>
              </w:rPr>
            </w:pPr>
          </w:p>
        </w:tc>
      </w:tr>
      <w:tr w14:paraId="4D907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88" w:type="dxa"/>
            <w:noWrap/>
            <w:vAlign w:val="center"/>
          </w:tcPr>
          <w:p w14:paraId="5DD5FCF5">
            <w:pPr>
              <w:adjustRightInd w:val="0"/>
              <w:snapToGrid w:val="0"/>
              <w:spacing w:line="300" w:lineRule="exact"/>
              <w:jc w:val="center"/>
              <w:rPr>
                <w:rFonts w:hint="default" w:ascii="仿宋" w:hAnsi="仿宋" w:eastAsia="仿宋" w:cs="仿宋"/>
                <w:sz w:val="24"/>
                <w:lang w:val="en-US" w:eastAsia="zh-CN"/>
              </w:rPr>
            </w:pPr>
            <w:r>
              <w:rPr>
                <w:rFonts w:hint="eastAsia" w:ascii="仿宋" w:hAnsi="仿宋" w:eastAsia="仿宋" w:cs="仿宋"/>
                <w:sz w:val="24"/>
                <w:lang w:val="en-US" w:eastAsia="zh-CN"/>
              </w:rPr>
              <w:t>23</w:t>
            </w:r>
          </w:p>
        </w:tc>
        <w:tc>
          <w:tcPr>
            <w:tcW w:w="3223" w:type="dxa"/>
            <w:noWrap/>
            <w:vAlign w:val="center"/>
          </w:tcPr>
          <w:p w14:paraId="13F13D7C">
            <w:pPr>
              <w:adjustRightInd w:val="0"/>
              <w:snapToGrid w:val="0"/>
              <w:spacing w:line="300" w:lineRule="exact"/>
              <w:ind w:firstLine="200" w:firstLineChars="100"/>
              <w:jc w:val="left"/>
              <w:rPr>
                <w:rFonts w:hint="default" w:ascii="仿宋" w:hAnsi="仿宋" w:eastAsia="仿宋" w:cs="仿宋"/>
                <w:bCs/>
                <w:sz w:val="20"/>
                <w:szCs w:val="20"/>
                <w:lang w:val="en-US" w:eastAsia="zh-CN"/>
              </w:rPr>
            </w:pPr>
            <w:r>
              <w:rPr>
                <w:rFonts w:hint="eastAsia" w:ascii="仿宋" w:hAnsi="仿宋" w:eastAsia="仿宋" w:cs="仿宋"/>
                <w:bCs/>
                <w:sz w:val="20"/>
                <w:szCs w:val="20"/>
                <w:lang w:val="en-US" w:eastAsia="zh-CN"/>
              </w:rPr>
              <w:t>政府住房基金收入</w:t>
            </w:r>
          </w:p>
        </w:tc>
        <w:tc>
          <w:tcPr>
            <w:tcW w:w="997" w:type="dxa"/>
            <w:noWrap/>
            <w:vAlign w:val="center"/>
          </w:tcPr>
          <w:p w14:paraId="7A2E8DC8">
            <w:pPr>
              <w:adjustRightInd w:val="0"/>
              <w:snapToGrid w:val="0"/>
              <w:spacing w:line="300" w:lineRule="exact"/>
              <w:jc w:val="left"/>
              <w:rPr>
                <w:rFonts w:hint="default" w:ascii="仿宋" w:hAnsi="仿宋" w:eastAsia="仿宋" w:cs="仿宋"/>
                <w:sz w:val="24"/>
                <w:lang w:val="en-US" w:eastAsia="zh-CN"/>
              </w:rPr>
            </w:pPr>
            <w:r>
              <w:rPr>
                <w:rFonts w:hint="eastAsia" w:ascii="仿宋" w:hAnsi="仿宋" w:eastAsia="仿宋" w:cs="仿宋"/>
                <w:sz w:val="24"/>
                <w:lang w:val="en-US" w:eastAsia="zh-CN"/>
              </w:rPr>
              <w:t>384</w:t>
            </w:r>
          </w:p>
        </w:tc>
        <w:tc>
          <w:tcPr>
            <w:tcW w:w="2764" w:type="dxa"/>
            <w:noWrap/>
            <w:vAlign w:val="center"/>
          </w:tcPr>
          <w:p w14:paraId="43667DF9">
            <w:pPr>
              <w:adjustRightInd w:val="0"/>
              <w:snapToGrid w:val="0"/>
              <w:spacing w:line="300" w:lineRule="exact"/>
              <w:jc w:val="left"/>
              <w:rPr>
                <w:rFonts w:hint="eastAsia" w:ascii="仿宋" w:hAnsi="仿宋" w:eastAsia="仿宋" w:cs="仿宋"/>
                <w:bCs/>
                <w:sz w:val="22"/>
                <w:szCs w:val="21"/>
              </w:rPr>
            </w:pPr>
          </w:p>
        </w:tc>
        <w:tc>
          <w:tcPr>
            <w:tcW w:w="1206" w:type="dxa"/>
            <w:noWrap/>
            <w:vAlign w:val="center"/>
          </w:tcPr>
          <w:p w14:paraId="20EF8F7C">
            <w:pPr>
              <w:adjustRightInd w:val="0"/>
              <w:snapToGrid w:val="0"/>
              <w:spacing w:line="300" w:lineRule="exact"/>
              <w:jc w:val="left"/>
              <w:rPr>
                <w:rFonts w:hint="eastAsia" w:ascii="仿宋" w:hAnsi="仿宋" w:eastAsia="仿宋" w:cs="仿宋"/>
                <w:bCs/>
                <w:sz w:val="24"/>
              </w:rPr>
            </w:pPr>
          </w:p>
        </w:tc>
      </w:tr>
      <w:tr w14:paraId="293E8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88" w:type="dxa"/>
            <w:noWrap/>
            <w:vAlign w:val="center"/>
          </w:tcPr>
          <w:p w14:paraId="0903F0FB">
            <w:pPr>
              <w:adjustRightInd w:val="0"/>
              <w:snapToGrid w:val="0"/>
              <w:spacing w:line="300" w:lineRule="exact"/>
              <w:jc w:val="center"/>
              <w:rPr>
                <w:rFonts w:hint="eastAsia" w:ascii="仿宋" w:hAnsi="仿宋" w:eastAsia="仿宋" w:cs="仿宋"/>
                <w:sz w:val="24"/>
                <w:lang w:val="en-US" w:eastAsia="zh-CN"/>
              </w:rPr>
            </w:pPr>
            <w:r>
              <w:rPr>
                <w:rFonts w:hint="eastAsia" w:ascii="仿宋" w:hAnsi="仿宋" w:eastAsia="仿宋" w:cs="仿宋"/>
                <w:sz w:val="24"/>
              </w:rPr>
              <w:t>2</w:t>
            </w:r>
            <w:r>
              <w:rPr>
                <w:rFonts w:hint="eastAsia" w:ascii="仿宋" w:hAnsi="仿宋" w:eastAsia="仿宋" w:cs="仿宋"/>
                <w:sz w:val="24"/>
                <w:lang w:val="en-US" w:eastAsia="zh-CN"/>
              </w:rPr>
              <w:t>4</w:t>
            </w:r>
          </w:p>
        </w:tc>
        <w:tc>
          <w:tcPr>
            <w:tcW w:w="3223" w:type="dxa"/>
            <w:noWrap/>
            <w:vAlign w:val="center"/>
          </w:tcPr>
          <w:p w14:paraId="4739BB66">
            <w:pPr>
              <w:adjustRightInd w:val="0"/>
              <w:snapToGrid w:val="0"/>
              <w:spacing w:line="300" w:lineRule="exact"/>
              <w:ind w:firstLine="220" w:firstLineChars="100"/>
              <w:jc w:val="left"/>
              <w:rPr>
                <w:rFonts w:ascii="仿宋" w:hAnsi="仿宋" w:eastAsia="仿宋" w:cs="仿宋"/>
                <w:bCs/>
                <w:sz w:val="22"/>
                <w:szCs w:val="21"/>
              </w:rPr>
            </w:pPr>
            <w:r>
              <w:rPr>
                <w:rFonts w:hint="eastAsia" w:ascii="仿宋" w:hAnsi="仿宋" w:eastAsia="仿宋" w:cs="仿宋"/>
                <w:bCs/>
                <w:sz w:val="22"/>
                <w:szCs w:val="21"/>
              </w:rPr>
              <w:t>其他收入</w:t>
            </w:r>
          </w:p>
        </w:tc>
        <w:tc>
          <w:tcPr>
            <w:tcW w:w="997" w:type="dxa"/>
            <w:noWrap/>
            <w:vAlign w:val="center"/>
          </w:tcPr>
          <w:p w14:paraId="1275A37D">
            <w:pPr>
              <w:adjustRightInd w:val="0"/>
              <w:snapToGrid w:val="0"/>
              <w:spacing w:line="300" w:lineRule="exact"/>
              <w:jc w:val="left"/>
              <w:rPr>
                <w:rFonts w:hint="default" w:ascii="仿宋" w:hAnsi="仿宋" w:eastAsia="仿宋" w:cs="仿宋"/>
                <w:sz w:val="24"/>
                <w:lang w:val="en-US" w:eastAsia="zh-CN"/>
              </w:rPr>
            </w:pPr>
            <w:r>
              <w:rPr>
                <w:rFonts w:hint="eastAsia" w:ascii="仿宋" w:hAnsi="仿宋" w:eastAsia="仿宋" w:cs="仿宋"/>
                <w:sz w:val="24"/>
                <w:lang w:val="en-US" w:eastAsia="zh-CN"/>
              </w:rPr>
              <w:t>1035</w:t>
            </w:r>
          </w:p>
        </w:tc>
        <w:tc>
          <w:tcPr>
            <w:tcW w:w="2764" w:type="dxa"/>
            <w:noWrap/>
            <w:vAlign w:val="center"/>
          </w:tcPr>
          <w:p w14:paraId="4E30DE7A">
            <w:pPr>
              <w:adjustRightInd w:val="0"/>
              <w:snapToGrid w:val="0"/>
              <w:spacing w:line="300" w:lineRule="exact"/>
              <w:jc w:val="left"/>
              <w:rPr>
                <w:rFonts w:ascii="仿宋" w:hAnsi="仿宋" w:eastAsia="仿宋" w:cs="仿宋"/>
                <w:bCs/>
                <w:sz w:val="22"/>
                <w:szCs w:val="21"/>
              </w:rPr>
            </w:pPr>
          </w:p>
        </w:tc>
        <w:tc>
          <w:tcPr>
            <w:tcW w:w="1206" w:type="dxa"/>
            <w:noWrap/>
            <w:vAlign w:val="center"/>
          </w:tcPr>
          <w:p w14:paraId="163C8D5E">
            <w:pPr>
              <w:adjustRightInd w:val="0"/>
              <w:snapToGrid w:val="0"/>
              <w:spacing w:line="300" w:lineRule="exact"/>
              <w:jc w:val="left"/>
              <w:rPr>
                <w:rFonts w:ascii="仿宋" w:hAnsi="仿宋" w:eastAsia="仿宋" w:cs="仿宋"/>
                <w:bCs/>
                <w:sz w:val="24"/>
              </w:rPr>
            </w:pPr>
          </w:p>
        </w:tc>
      </w:tr>
      <w:tr w14:paraId="0E503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88" w:type="dxa"/>
            <w:noWrap/>
            <w:vAlign w:val="center"/>
          </w:tcPr>
          <w:p w14:paraId="4E5F836A">
            <w:pPr>
              <w:adjustRightInd w:val="0"/>
              <w:snapToGrid w:val="0"/>
              <w:spacing w:line="300" w:lineRule="exact"/>
              <w:jc w:val="center"/>
              <w:rPr>
                <w:rFonts w:hint="eastAsia" w:ascii="仿宋" w:hAnsi="仿宋" w:eastAsia="仿宋" w:cs="仿宋"/>
                <w:sz w:val="24"/>
                <w:lang w:val="en-US" w:eastAsia="zh-CN"/>
              </w:rPr>
            </w:pPr>
            <w:r>
              <w:rPr>
                <w:rFonts w:hint="eastAsia" w:ascii="仿宋" w:hAnsi="仿宋" w:eastAsia="仿宋" w:cs="仿宋"/>
                <w:sz w:val="24"/>
              </w:rPr>
              <w:t>2</w:t>
            </w:r>
            <w:r>
              <w:rPr>
                <w:rFonts w:hint="eastAsia" w:ascii="仿宋" w:hAnsi="仿宋" w:eastAsia="仿宋" w:cs="仿宋"/>
                <w:sz w:val="24"/>
                <w:lang w:val="en-US" w:eastAsia="zh-CN"/>
              </w:rPr>
              <w:t>5</w:t>
            </w:r>
          </w:p>
        </w:tc>
        <w:tc>
          <w:tcPr>
            <w:tcW w:w="3223" w:type="dxa"/>
            <w:noWrap/>
            <w:vAlign w:val="center"/>
          </w:tcPr>
          <w:p w14:paraId="122CC3DA">
            <w:pPr>
              <w:adjustRightInd w:val="0"/>
              <w:snapToGrid w:val="0"/>
              <w:spacing w:line="300" w:lineRule="exact"/>
              <w:jc w:val="center"/>
              <w:rPr>
                <w:rFonts w:ascii="仿宋" w:hAnsi="仿宋" w:eastAsia="仿宋" w:cs="仿宋"/>
                <w:bCs/>
                <w:sz w:val="22"/>
                <w:szCs w:val="21"/>
              </w:rPr>
            </w:pPr>
            <w:r>
              <w:rPr>
                <w:rFonts w:hint="eastAsia" w:ascii="仿宋" w:hAnsi="仿宋" w:eastAsia="仿宋" w:cs="仿宋"/>
                <w:b/>
                <w:sz w:val="22"/>
                <w:szCs w:val="21"/>
              </w:rPr>
              <w:t>本年收入合计</w:t>
            </w:r>
          </w:p>
        </w:tc>
        <w:tc>
          <w:tcPr>
            <w:tcW w:w="997" w:type="dxa"/>
            <w:noWrap/>
            <w:vAlign w:val="center"/>
          </w:tcPr>
          <w:p w14:paraId="294810A4">
            <w:pPr>
              <w:adjustRightInd w:val="0"/>
              <w:snapToGrid w:val="0"/>
              <w:spacing w:line="300" w:lineRule="exact"/>
              <w:jc w:val="left"/>
              <w:rPr>
                <w:rFonts w:hint="default" w:ascii="仿宋" w:hAnsi="仿宋" w:eastAsia="仿宋" w:cs="仿宋"/>
                <w:sz w:val="24"/>
                <w:lang w:val="en-US" w:eastAsia="zh-CN"/>
              </w:rPr>
            </w:pPr>
            <w:r>
              <w:rPr>
                <w:rFonts w:hint="eastAsia" w:ascii="仿宋" w:hAnsi="仿宋" w:eastAsia="仿宋" w:cs="仿宋"/>
                <w:sz w:val="24"/>
              </w:rPr>
              <w:t>18</w:t>
            </w:r>
            <w:r>
              <w:rPr>
                <w:rFonts w:hint="eastAsia" w:ascii="仿宋" w:hAnsi="仿宋" w:eastAsia="仿宋" w:cs="仿宋"/>
                <w:sz w:val="24"/>
                <w:lang w:val="en-US" w:eastAsia="zh-CN"/>
              </w:rPr>
              <w:t>9117</w:t>
            </w:r>
          </w:p>
        </w:tc>
        <w:tc>
          <w:tcPr>
            <w:tcW w:w="2764" w:type="dxa"/>
            <w:noWrap/>
            <w:vAlign w:val="center"/>
          </w:tcPr>
          <w:p w14:paraId="1923FDDC">
            <w:pPr>
              <w:adjustRightInd w:val="0"/>
              <w:snapToGrid w:val="0"/>
              <w:spacing w:line="300" w:lineRule="exact"/>
              <w:jc w:val="center"/>
              <w:rPr>
                <w:rFonts w:ascii="仿宋" w:hAnsi="仿宋" w:eastAsia="仿宋" w:cs="仿宋"/>
                <w:bCs/>
                <w:sz w:val="22"/>
                <w:szCs w:val="21"/>
              </w:rPr>
            </w:pPr>
            <w:r>
              <w:rPr>
                <w:rFonts w:hint="eastAsia" w:ascii="仿宋" w:hAnsi="仿宋" w:eastAsia="仿宋" w:cs="仿宋"/>
                <w:b/>
                <w:sz w:val="22"/>
                <w:szCs w:val="21"/>
              </w:rPr>
              <w:t>本年支出合计</w:t>
            </w:r>
          </w:p>
        </w:tc>
        <w:tc>
          <w:tcPr>
            <w:tcW w:w="1206" w:type="dxa"/>
            <w:noWrap/>
            <w:vAlign w:val="center"/>
          </w:tcPr>
          <w:p w14:paraId="06CFA771">
            <w:pPr>
              <w:adjustRightInd w:val="0"/>
              <w:snapToGrid w:val="0"/>
              <w:spacing w:line="300" w:lineRule="exact"/>
              <w:jc w:val="left"/>
              <w:rPr>
                <w:rFonts w:hint="default" w:ascii="仿宋" w:hAnsi="仿宋" w:eastAsia="仿宋" w:cs="仿宋"/>
                <w:bCs/>
                <w:sz w:val="24"/>
                <w:lang w:val="en-US" w:eastAsia="zh-CN"/>
              </w:rPr>
            </w:pPr>
            <w:r>
              <w:rPr>
                <w:rFonts w:hint="eastAsia" w:ascii="仿宋" w:hAnsi="仿宋" w:eastAsia="仿宋" w:cs="仿宋"/>
                <w:bCs/>
                <w:sz w:val="24"/>
                <w:lang w:val="en-US" w:eastAsia="zh-CN"/>
              </w:rPr>
              <w:t>396177</w:t>
            </w:r>
          </w:p>
        </w:tc>
      </w:tr>
      <w:tr w14:paraId="3589A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88" w:type="dxa"/>
            <w:noWrap/>
            <w:vAlign w:val="center"/>
          </w:tcPr>
          <w:p w14:paraId="77ACBCC7">
            <w:pPr>
              <w:adjustRightInd w:val="0"/>
              <w:snapToGrid w:val="0"/>
              <w:spacing w:line="300" w:lineRule="exact"/>
              <w:jc w:val="center"/>
              <w:rPr>
                <w:rFonts w:hint="eastAsia" w:ascii="仿宋" w:hAnsi="仿宋" w:eastAsia="仿宋" w:cs="仿宋"/>
                <w:sz w:val="24"/>
                <w:lang w:val="en-US" w:eastAsia="zh-CN"/>
              </w:rPr>
            </w:pPr>
            <w:r>
              <w:rPr>
                <w:rFonts w:hint="eastAsia" w:ascii="仿宋" w:hAnsi="仿宋" w:eastAsia="仿宋" w:cs="仿宋"/>
                <w:sz w:val="24"/>
              </w:rPr>
              <w:t>2</w:t>
            </w:r>
            <w:r>
              <w:rPr>
                <w:rFonts w:hint="eastAsia" w:ascii="仿宋" w:hAnsi="仿宋" w:eastAsia="仿宋" w:cs="仿宋"/>
                <w:sz w:val="24"/>
                <w:lang w:val="en-US" w:eastAsia="zh-CN"/>
              </w:rPr>
              <w:t>6</w:t>
            </w:r>
          </w:p>
        </w:tc>
        <w:tc>
          <w:tcPr>
            <w:tcW w:w="3223" w:type="dxa"/>
            <w:noWrap/>
            <w:vAlign w:val="center"/>
          </w:tcPr>
          <w:p w14:paraId="0559F6DD">
            <w:pPr>
              <w:adjustRightInd w:val="0"/>
              <w:snapToGrid w:val="0"/>
              <w:spacing w:line="300" w:lineRule="exact"/>
              <w:jc w:val="left"/>
              <w:rPr>
                <w:rFonts w:ascii="仿宋" w:hAnsi="仿宋" w:eastAsia="仿宋" w:cs="仿宋"/>
                <w:bCs/>
                <w:sz w:val="22"/>
                <w:szCs w:val="21"/>
              </w:rPr>
            </w:pPr>
            <w:r>
              <w:rPr>
                <w:rFonts w:hint="eastAsia" w:ascii="仿宋" w:hAnsi="仿宋" w:eastAsia="仿宋" w:cs="仿宋"/>
                <w:bCs/>
                <w:sz w:val="22"/>
                <w:szCs w:val="21"/>
              </w:rPr>
              <w:t>本年收入</w:t>
            </w:r>
          </w:p>
        </w:tc>
        <w:tc>
          <w:tcPr>
            <w:tcW w:w="997" w:type="dxa"/>
            <w:noWrap/>
            <w:vAlign w:val="center"/>
          </w:tcPr>
          <w:p w14:paraId="3EB83B7A">
            <w:pPr>
              <w:adjustRightInd w:val="0"/>
              <w:snapToGrid w:val="0"/>
              <w:spacing w:line="300" w:lineRule="exact"/>
              <w:jc w:val="left"/>
              <w:rPr>
                <w:rFonts w:hint="default" w:ascii="仿宋" w:hAnsi="仿宋" w:eastAsia="仿宋" w:cs="仿宋"/>
                <w:sz w:val="24"/>
                <w:lang w:val="en-US" w:eastAsia="zh-CN"/>
              </w:rPr>
            </w:pPr>
            <w:r>
              <w:rPr>
                <w:rFonts w:hint="eastAsia" w:ascii="仿宋" w:hAnsi="仿宋" w:eastAsia="仿宋" w:cs="仿宋"/>
                <w:sz w:val="24"/>
              </w:rPr>
              <w:t>18</w:t>
            </w:r>
            <w:r>
              <w:rPr>
                <w:rFonts w:hint="eastAsia" w:ascii="仿宋" w:hAnsi="仿宋" w:eastAsia="仿宋" w:cs="仿宋"/>
                <w:sz w:val="24"/>
                <w:lang w:val="en-US" w:eastAsia="zh-CN"/>
              </w:rPr>
              <w:t>9117</w:t>
            </w:r>
          </w:p>
        </w:tc>
        <w:tc>
          <w:tcPr>
            <w:tcW w:w="2764" w:type="dxa"/>
            <w:noWrap/>
            <w:vAlign w:val="center"/>
          </w:tcPr>
          <w:p w14:paraId="57D5263E">
            <w:pPr>
              <w:adjustRightInd w:val="0"/>
              <w:snapToGrid w:val="0"/>
              <w:spacing w:line="300" w:lineRule="exact"/>
              <w:jc w:val="left"/>
              <w:rPr>
                <w:rFonts w:ascii="仿宋" w:hAnsi="仿宋" w:eastAsia="仿宋" w:cs="仿宋"/>
                <w:bCs/>
                <w:sz w:val="22"/>
                <w:szCs w:val="21"/>
              </w:rPr>
            </w:pPr>
            <w:r>
              <w:rPr>
                <w:rFonts w:hint="eastAsia" w:ascii="仿宋" w:hAnsi="仿宋" w:eastAsia="仿宋" w:cs="仿宋"/>
                <w:bCs/>
                <w:sz w:val="22"/>
                <w:szCs w:val="21"/>
              </w:rPr>
              <w:t>本年支出</w:t>
            </w:r>
          </w:p>
        </w:tc>
        <w:tc>
          <w:tcPr>
            <w:tcW w:w="1206" w:type="dxa"/>
            <w:noWrap/>
            <w:vAlign w:val="center"/>
          </w:tcPr>
          <w:p w14:paraId="672C1764">
            <w:pPr>
              <w:adjustRightInd w:val="0"/>
              <w:snapToGrid w:val="0"/>
              <w:spacing w:line="300" w:lineRule="exact"/>
              <w:jc w:val="left"/>
              <w:rPr>
                <w:rFonts w:hint="default" w:ascii="仿宋" w:hAnsi="仿宋" w:eastAsia="仿宋" w:cs="仿宋"/>
                <w:bCs/>
                <w:sz w:val="24"/>
                <w:lang w:val="en-US" w:eastAsia="zh-CN"/>
              </w:rPr>
            </w:pPr>
            <w:r>
              <w:rPr>
                <w:rFonts w:hint="eastAsia" w:ascii="仿宋" w:hAnsi="仿宋" w:eastAsia="仿宋" w:cs="仿宋"/>
                <w:bCs/>
                <w:sz w:val="24"/>
                <w:lang w:val="en-US" w:eastAsia="zh-CN"/>
              </w:rPr>
              <w:t>396177</w:t>
            </w:r>
          </w:p>
        </w:tc>
      </w:tr>
      <w:tr w14:paraId="09AE9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88" w:type="dxa"/>
            <w:noWrap/>
            <w:vAlign w:val="center"/>
          </w:tcPr>
          <w:p w14:paraId="2ACF763C">
            <w:pPr>
              <w:adjustRightInd w:val="0"/>
              <w:snapToGrid w:val="0"/>
              <w:spacing w:line="300" w:lineRule="exact"/>
              <w:jc w:val="center"/>
              <w:rPr>
                <w:rFonts w:hint="eastAsia" w:ascii="仿宋" w:hAnsi="仿宋" w:eastAsia="仿宋" w:cs="仿宋"/>
                <w:sz w:val="24"/>
                <w:lang w:val="en-US" w:eastAsia="zh-CN"/>
              </w:rPr>
            </w:pPr>
            <w:r>
              <w:rPr>
                <w:rFonts w:hint="eastAsia" w:ascii="仿宋" w:hAnsi="仿宋" w:eastAsia="仿宋" w:cs="仿宋"/>
                <w:sz w:val="24"/>
              </w:rPr>
              <w:t>2</w:t>
            </w:r>
            <w:r>
              <w:rPr>
                <w:rFonts w:hint="eastAsia" w:ascii="仿宋" w:hAnsi="仿宋" w:eastAsia="仿宋" w:cs="仿宋"/>
                <w:sz w:val="24"/>
                <w:lang w:val="en-US" w:eastAsia="zh-CN"/>
              </w:rPr>
              <w:t>7</w:t>
            </w:r>
          </w:p>
        </w:tc>
        <w:tc>
          <w:tcPr>
            <w:tcW w:w="3223" w:type="dxa"/>
            <w:noWrap/>
            <w:vAlign w:val="center"/>
          </w:tcPr>
          <w:p w14:paraId="449D9456">
            <w:pPr>
              <w:adjustRightInd w:val="0"/>
              <w:snapToGrid w:val="0"/>
              <w:spacing w:line="300" w:lineRule="exact"/>
              <w:jc w:val="left"/>
              <w:rPr>
                <w:rFonts w:ascii="仿宋" w:hAnsi="仿宋" w:eastAsia="仿宋" w:cs="仿宋"/>
                <w:bCs/>
                <w:sz w:val="22"/>
                <w:szCs w:val="21"/>
              </w:rPr>
            </w:pPr>
            <w:r>
              <w:rPr>
                <w:rFonts w:hint="eastAsia" w:ascii="仿宋" w:hAnsi="仿宋" w:eastAsia="仿宋" w:cs="仿宋"/>
                <w:bCs/>
                <w:sz w:val="22"/>
                <w:szCs w:val="21"/>
              </w:rPr>
              <w:t>上级补助收入</w:t>
            </w:r>
          </w:p>
        </w:tc>
        <w:tc>
          <w:tcPr>
            <w:tcW w:w="997" w:type="dxa"/>
            <w:noWrap/>
            <w:vAlign w:val="center"/>
          </w:tcPr>
          <w:p w14:paraId="60B42D03">
            <w:pPr>
              <w:adjustRightInd w:val="0"/>
              <w:snapToGrid w:val="0"/>
              <w:spacing w:line="300" w:lineRule="exact"/>
              <w:jc w:val="left"/>
              <w:rPr>
                <w:rFonts w:hint="default" w:ascii="仿宋" w:hAnsi="仿宋" w:eastAsia="仿宋" w:cs="仿宋"/>
                <w:sz w:val="24"/>
                <w:lang w:val="en-US" w:eastAsia="zh-CN"/>
              </w:rPr>
            </w:pPr>
            <w:r>
              <w:rPr>
                <w:rFonts w:hint="eastAsia" w:ascii="仿宋" w:hAnsi="仿宋" w:eastAsia="仿宋" w:cs="仿宋"/>
                <w:sz w:val="24"/>
              </w:rPr>
              <w:t>2</w:t>
            </w:r>
            <w:r>
              <w:rPr>
                <w:rFonts w:hint="eastAsia" w:ascii="仿宋" w:hAnsi="仿宋" w:eastAsia="仿宋" w:cs="仿宋"/>
                <w:sz w:val="24"/>
                <w:lang w:val="en-US" w:eastAsia="zh-CN"/>
              </w:rPr>
              <w:t>44468</w:t>
            </w:r>
          </w:p>
        </w:tc>
        <w:tc>
          <w:tcPr>
            <w:tcW w:w="2764" w:type="dxa"/>
            <w:noWrap/>
            <w:vAlign w:val="center"/>
          </w:tcPr>
          <w:p w14:paraId="29902D08">
            <w:pPr>
              <w:adjustRightInd w:val="0"/>
              <w:snapToGrid w:val="0"/>
              <w:spacing w:line="300" w:lineRule="exact"/>
              <w:jc w:val="left"/>
              <w:rPr>
                <w:rFonts w:ascii="仿宋" w:hAnsi="仿宋" w:eastAsia="仿宋" w:cs="仿宋"/>
                <w:bCs/>
                <w:sz w:val="22"/>
                <w:szCs w:val="21"/>
              </w:rPr>
            </w:pPr>
            <w:r>
              <w:rPr>
                <w:rFonts w:hint="eastAsia" w:ascii="仿宋" w:hAnsi="仿宋" w:eastAsia="仿宋" w:cs="仿宋"/>
                <w:bCs/>
                <w:sz w:val="22"/>
                <w:szCs w:val="21"/>
              </w:rPr>
              <w:t>上解上级支出</w:t>
            </w:r>
          </w:p>
        </w:tc>
        <w:tc>
          <w:tcPr>
            <w:tcW w:w="1206" w:type="dxa"/>
            <w:noWrap/>
            <w:vAlign w:val="center"/>
          </w:tcPr>
          <w:p w14:paraId="4D7BC416">
            <w:pPr>
              <w:adjustRightInd w:val="0"/>
              <w:snapToGrid w:val="0"/>
              <w:spacing w:line="300" w:lineRule="exact"/>
              <w:jc w:val="left"/>
              <w:rPr>
                <w:rFonts w:hint="default" w:ascii="仿宋" w:hAnsi="仿宋" w:eastAsia="仿宋" w:cs="仿宋"/>
                <w:bCs/>
                <w:sz w:val="24"/>
                <w:lang w:val="en-US" w:eastAsia="zh-CN"/>
              </w:rPr>
            </w:pPr>
            <w:r>
              <w:rPr>
                <w:rFonts w:hint="eastAsia" w:ascii="仿宋" w:hAnsi="仿宋" w:eastAsia="仿宋" w:cs="仿宋"/>
                <w:bCs/>
                <w:sz w:val="24"/>
                <w:lang w:val="en-US" w:eastAsia="zh-CN"/>
              </w:rPr>
              <w:t>41715</w:t>
            </w:r>
          </w:p>
        </w:tc>
      </w:tr>
      <w:tr w14:paraId="39ACC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88" w:type="dxa"/>
            <w:noWrap/>
            <w:vAlign w:val="center"/>
          </w:tcPr>
          <w:p w14:paraId="09FF70CB">
            <w:pPr>
              <w:adjustRightInd w:val="0"/>
              <w:snapToGrid w:val="0"/>
              <w:spacing w:line="300" w:lineRule="exact"/>
              <w:jc w:val="center"/>
              <w:rPr>
                <w:rFonts w:hint="eastAsia" w:ascii="仿宋" w:hAnsi="仿宋" w:eastAsia="仿宋" w:cs="仿宋"/>
                <w:sz w:val="24"/>
                <w:lang w:val="en-US" w:eastAsia="zh-CN"/>
              </w:rPr>
            </w:pPr>
            <w:r>
              <w:rPr>
                <w:rFonts w:hint="eastAsia" w:ascii="仿宋" w:hAnsi="仿宋" w:eastAsia="仿宋" w:cs="仿宋"/>
                <w:sz w:val="24"/>
              </w:rPr>
              <w:t>2</w:t>
            </w:r>
            <w:r>
              <w:rPr>
                <w:rFonts w:hint="eastAsia" w:ascii="仿宋" w:hAnsi="仿宋" w:eastAsia="仿宋" w:cs="仿宋"/>
                <w:sz w:val="24"/>
                <w:lang w:val="en-US" w:eastAsia="zh-CN"/>
              </w:rPr>
              <w:t>8</w:t>
            </w:r>
          </w:p>
        </w:tc>
        <w:tc>
          <w:tcPr>
            <w:tcW w:w="3223" w:type="dxa"/>
            <w:noWrap/>
            <w:vAlign w:val="center"/>
          </w:tcPr>
          <w:p w14:paraId="3CB454CD">
            <w:pPr>
              <w:adjustRightInd w:val="0"/>
              <w:snapToGrid w:val="0"/>
              <w:spacing w:line="300" w:lineRule="exact"/>
              <w:ind w:firstLine="220" w:firstLineChars="100"/>
              <w:jc w:val="left"/>
              <w:rPr>
                <w:rFonts w:ascii="仿宋" w:hAnsi="仿宋" w:eastAsia="仿宋" w:cs="仿宋"/>
                <w:bCs/>
                <w:sz w:val="22"/>
                <w:szCs w:val="21"/>
                <w:highlight w:val="none"/>
              </w:rPr>
            </w:pPr>
            <w:r>
              <w:rPr>
                <w:rFonts w:hint="eastAsia" w:ascii="仿宋" w:hAnsi="仿宋" w:eastAsia="仿宋" w:cs="仿宋"/>
                <w:bCs/>
                <w:sz w:val="22"/>
                <w:szCs w:val="21"/>
                <w:highlight w:val="none"/>
              </w:rPr>
              <w:t>1.返还性收入</w:t>
            </w:r>
          </w:p>
        </w:tc>
        <w:tc>
          <w:tcPr>
            <w:tcW w:w="997" w:type="dxa"/>
            <w:noWrap/>
            <w:vAlign w:val="center"/>
          </w:tcPr>
          <w:p w14:paraId="30B2C909">
            <w:pPr>
              <w:adjustRightInd w:val="0"/>
              <w:snapToGrid w:val="0"/>
              <w:spacing w:line="300" w:lineRule="exact"/>
              <w:jc w:val="left"/>
              <w:rPr>
                <w:rFonts w:ascii="仿宋" w:hAnsi="仿宋" w:eastAsia="仿宋" w:cs="仿宋"/>
                <w:sz w:val="24"/>
                <w:highlight w:val="none"/>
              </w:rPr>
            </w:pPr>
            <w:r>
              <w:rPr>
                <w:rFonts w:hint="eastAsia" w:ascii="仿宋" w:hAnsi="仿宋" w:eastAsia="仿宋" w:cs="仿宋"/>
                <w:sz w:val="24"/>
                <w:highlight w:val="none"/>
              </w:rPr>
              <w:t>1813</w:t>
            </w:r>
          </w:p>
        </w:tc>
        <w:tc>
          <w:tcPr>
            <w:tcW w:w="2764" w:type="dxa"/>
            <w:noWrap/>
            <w:vAlign w:val="center"/>
          </w:tcPr>
          <w:p w14:paraId="217B36B9">
            <w:pPr>
              <w:adjustRightInd w:val="0"/>
              <w:snapToGrid w:val="0"/>
              <w:spacing w:line="300" w:lineRule="exact"/>
              <w:ind w:firstLine="110" w:firstLineChars="50"/>
              <w:jc w:val="left"/>
              <w:rPr>
                <w:rFonts w:ascii="仿宋" w:hAnsi="仿宋" w:eastAsia="仿宋" w:cs="仿宋"/>
                <w:bCs/>
                <w:sz w:val="22"/>
                <w:szCs w:val="21"/>
                <w:highlight w:val="none"/>
              </w:rPr>
            </w:pPr>
            <w:r>
              <w:rPr>
                <w:rFonts w:hint="eastAsia" w:ascii="仿宋" w:hAnsi="仿宋" w:eastAsia="仿宋" w:cs="仿宋"/>
                <w:bCs/>
                <w:sz w:val="22"/>
                <w:szCs w:val="21"/>
                <w:highlight w:val="none"/>
              </w:rPr>
              <w:t>1.体制上解支出</w:t>
            </w:r>
          </w:p>
        </w:tc>
        <w:tc>
          <w:tcPr>
            <w:tcW w:w="1206" w:type="dxa"/>
            <w:noWrap/>
            <w:vAlign w:val="center"/>
          </w:tcPr>
          <w:p w14:paraId="67ADF033">
            <w:pPr>
              <w:adjustRightInd w:val="0"/>
              <w:snapToGrid w:val="0"/>
              <w:spacing w:line="300" w:lineRule="exact"/>
              <w:jc w:val="left"/>
              <w:rPr>
                <w:rFonts w:hint="default" w:ascii="仿宋" w:hAnsi="仿宋" w:eastAsia="仿宋" w:cs="仿宋"/>
                <w:bCs/>
                <w:sz w:val="24"/>
                <w:highlight w:val="none"/>
                <w:lang w:val="en-US" w:eastAsia="zh-CN"/>
              </w:rPr>
            </w:pPr>
            <w:r>
              <w:rPr>
                <w:rFonts w:hint="eastAsia" w:ascii="仿宋" w:hAnsi="仿宋" w:eastAsia="仿宋" w:cs="仿宋"/>
                <w:bCs/>
                <w:sz w:val="24"/>
                <w:highlight w:val="none"/>
                <w:lang w:val="en-US" w:eastAsia="zh-CN"/>
              </w:rPr>
              <w:t>2907</w:t>
            </w:r>
          </w:p>
        </w:tc>
      </w:tr>
      <w:tr w14:paraId="3595B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788" w:type="dxa"/>
            <w:noWrap/>
            <w:vAlign w:val="center"/>
          </w:tcPr>
          <w:p w14:paraId="243A9988">
            <w:pPr>
              <w:adjustRightInd w:val="0"/>
              <w:snapToGrid w:val="0"/>
              <w:spacing w:line="300" w:lineRule="exact"/>
              <w:jc w:val="center"/>
              <w:rPr>
                <w:rFonts w:hint="eastAsia" w:ascii="仿宋" w:hAnsi="仿宋" w:eastAsia="仿宋" w:cs="仿宋"/>
                <w:sz w:val="24"/>
                <w:lang w:val="en-US" w:eastAsia="zh-CN"/>
              </w:rPr>
            </w:pPr>
            <w:r>
              <w:rPr>
                <w:rFonts w:hint="eastAsia" w:ascii="仿宋" w:hAnsi="仿宋" w:eastAsia="仿宋" w:cs="仿宋"/>
                <w:sz w:val="24"/>
              </w:rPr>
              <w:t>2</w:t>
            </w:r>
            <w:r>
              <w:rPr>
                <w:rFonts w:hint="eastAsia" w:ascii="仿宋" w:hAnsi="仿宋" w:eastAsia="仿宋" w:cs="仿宋"/>
                <w:sz w:val="24"/>
                <w:lang w:val="en-US" w:eastAsia="zh-CN"/>
              </w:rPr>
              <w:t>9</w:t>
            </w:r>
          </w:p>
        </w:tc>
        <w:tc>
          <w:tcPr>
            <w:tcW w:w="3223" w:type="dxa"/>
            <w:noWrap/>
            <w:vAlign w:val="center"/>
          </w:tcPr>
          <w:p w14:paraId="196C423F">
            <w:pPr>
              <w:adjustRightInd w:val="0"/>
              <w:snapToGrid w:val="0"/>
              <w:spacing w:line="300" w:lineRule="exact"/>
              <w:ind w:firstLine="220" w:firstLineChars="100"/>
              <w:jc w:val="left"/>
              <w:rPr>
                <w:rFonts w:hint="eastAsia" w:ascii="仿宋" w:hAnsi="仿宋" w:eastAsia="仿宋" w:cs="仿宋"/>
                <w:bCs/>
                <w:sz w:val="22"/>
                <w:szCs w:val="21"/>
                <w:highlight w:val="none"/>
                <w:lang w:val="en-US" w:eastAsia="zh-CN"/>
              </w:rPr>
            </w:pPr>
            <w:r>
              <w:rPr>
                <w:rFonts w:hint="eastAsia" w:ascii="仿宋" w:hAnsi="仿宋" w:eastAsia="仿宋" w:cs="仿宋"/>
                <w:bCs/>
                <w:sz w:val="22"/>
                <w:szCs w:val="21"/>
                <w:highlight w:val="none"/>
              </w:rPr>
              <w:t>2.</w:t>
            </w:r>
            <w:r>
              <w:rPr>
                <w:rFonts w:hint="eastAsia" w:ascii="仿宋" w:hAnsi="仿宋" w:eastAsia="仿宋" w:cs="仿宋"/>
                <w:bCs/>
                <w:sz w:val="22"/>
                <w:szCs w:val="21"/>
                <w:highlight w:val="none"/>
                <w:lang w:eastAsia="zh-CN"/>
              </w:rPr>
              <w:t>财力性转移支付</w:t>
            </w:r>
          </w:p>
        </w:tc>
        <w:tc>
          <w:tcPr>
            <w:tcW w:w="997" w:type="dxa"/>
            <w:noWrap/>
            <w:vAlign w:val="center"/>
          </w:tcPr>
          <w:p w14:paraId="0A2B6F5A">
            <w:pPr>
              <w:adjustRightInd w:val="0"/>
              <w:snapToGrid w:val="0"/>
              <w:spacing w:line="300" w:lineRule="exact"/>
              <w:jc w:val="left"/>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115026</w:t>
            </w:r>
          </w:p>
        </w:tc>
        <w:tc>
          <w:tcPr>
            <w:tcW w:w="2764" w:type="dxa"/>
            <w:noWrap/>
            <w:vAlign w:val="center"/>
          </w:tcPr>
          <w:p w14:paraId="2C3B99E9">
            <w:pPr>
              <w:adjustRightInd w:val="0"/>
              <w:snapToGrid w:val="0"/>
              <w:spacing w:line="300" w:lineRule="exact"/>
              <w:ind w:firstLine="105" w:firstLineChars="50"/>
              <w:jc w:val="left"/>
              <w:rPr>
                <w:rFonts w:ascii="仿宋" w:hAnsi="仿宋" w:eastAsia="仿宋" w:cs="仿宋"/>
                <w:bCs/>
                <w:sz w:val="22"/>
                <w:szCs w:val="21"/>
                <w:highlight w:val="none"/>
              </w:rPr>
            </w:pPr>
            <w:r>
              <w:rPr>
                <w:rFonts w:hint="eastAsia" w:ascii="仿宋" w:hAnsi="仿宋" w:eastAsia="仿宋" w:cs="仿宋"/>
                <w:bCs/>
                <w:szCs w:val="21"/>
                <w:highlight w:val="none"/>
              </w:rPr>
              <w:t>2.专项上解支出</w:t>
            </w:r>
          </w:p>
        </w:tc>
        <w:tc>
          <w:tcPr>
            <w:tcW w:w="1206" w:type="dxa"/>
            <w:noWrap/>
            <w:vAlign w:val="center"/>
          </w:tcPr>
          <w:p w14:paraId="7B705E3A">
            <w:pPr>
              <w:adjustRightInd w:val="0"/>
              <w:snapToGrid w:val="0"/>
              <w:spacing w:line="300" w:lineRule="exact"/>
              <w:jc w:val="left"/>
              <w:rPr>
                <w:rFonts w:hint="default" w:ascii="仿宋" w:hAnsi="仿宋" w:eastAsia="仿宋" w:cs="仿宋"/>
                <w:bCs/>
                <w:sz w:val="24"/>
                <w:highlight w:val="none"/>
                <w:lang w:val="en-US" w:eastAsia="zh-CN"/>
              </w:rPr>
            </w:pPr>
            <w:r>
              <w:rPr>
                <w:rFonts w:hint="eastAsia" w:ascii="仿宋" w:hAnsi="仿宋" w:eastAsia="仿宋" w:cs="仿宋"/>
                <w:bCs/>
                <w:sz w:val="24"/>
                <w:highlight w:val="none"/>
                <w:lang w:val="en-US" w:eastAsia="zh-CN"/>
              </w:rPr>
              <w:t>38808</w:t>
            </w:r>
          </w:p>
        </w:tc>
      </w:tr>
      <w:tr w14:paraId="73D8A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88" w:type="dxa"/>
            <w:noWrap/>
            <w:vAlign w:val="center"/>
          </w:tcPr>
          <w:p w14:paraId="1317EEBE">
            <w:pPr>
              <w:adjustRightInd w:val="0"/>
              <w:snapToGrid w:val="0"/>
              <w:spacing w:line="300" w:lineRule="exact"/>
              <w:jc w:val="center"/>
              <w:rPr>
                <w:rFonts w:hint="default" w:ascii="仿宋" w:hAnsi="仿宋" w:eastAsia="仿宋" w:cs="仿宋"/>
                <w:sz w:val="24"/>
                <w:lang w:val="en-US" w:eastAsia="zh-CN"/>
              </w:rPr>
            </w:pPr>
            <w:r>
              <w:rPr>
                <w:rFonts w:hint="eastAsia" w:ascii="仿宋" w:hAnsi="仿宋" w:eastAsia="仿宋" w:cs="仿宋"/>
                <w:sz w:val="24"/>
                <w:lang w:val="en-US" w:eastAsia="zh-CN"/>
              </w:rPr>
              <w:t>30</w:t>
            </w:r>
          </w:p>
        </w:tc>
        <w:tc>
          <w:tcPr>
            <w:tcW w:w="3223" w:type="dxa"/>
            <w:noWrap/>
            <w:vAlign w:val="center"/>
          </w:tcPr>
          <w:p w14:paraId="719412D4">
            <w:pPr>
              <w:adjustRightInd w:val="0"/>
              <w:snapToGrid w:val="0"/>
              <w:spacing w:line="300" w:lineRule="exact"/>
              <w:ind w:firstLine="220" w:firstLineChars="100"/>
              <w:jc w:val="left"/>
              <w:rPr>
                <w:rFonts w:ascii="仿宋" w:hAnsi="仿宋" w:eastAsia="仿宋" w:cs="仿宋"/>
                <w:bCs/>
                <w:sz w:val="22"/>
                <w:szCs w:val="21"/>
                <w:highlight w:val="none"/>
              </w:rPr>
            </w:pPr>
            <w:r>
              <w:rPr>
                <w:rFonts w:hint="eastAsia" w:ascii="仿宋" w:hAnsi="仿宋" w:eastAsia="仿宋" w:cs="仿宋"/>
                <w:bCs/>
                <w:sz w:val="22"/>
                <w:szCs w:val="21"/>
                <w:highlight w:val="none"/>
              </w:rPr>
              <w:t>3.专项转移支付收入</w:t>
            </w:r>
          </w:p>
        </w:tc>
        <w:tc>
          <w:tcPr>
            <w:tcW w:w="997" w:type="dxa"/>
            <w:noWrap/>
            <w:vAlign w:val="center"/>
          </w:tcPr>
          <w:p w14:paraId="66ED5F30">
            <w:pPr>
              <w:adjustRightInd w:val="0"/>
              <w:snapToGrid w:val="0"/>
              <w:spacing w:line="300" w:lineRule="exact"/>
              <w:jc w:val="left"/>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127629</w:t>
            </w:r>
          </w:p>
        </w:tc>
        <w:tc>
          <w:tcPr>
            <w:tcW w:w="2764" w:type="dxa"/>
            <w:noWrap/>
            <w:vAlign w:val="center"/>
          </w:tcPr>
          <w:p w14:paraId="1CA1C6AD">
            <w:pPr>
              <w:adjustRightInd w:val="0"/>
              <w:snapToGrid w:val="0"/>
              <w:spacing w:line="300" w:lineRule="exact"/>
              <w:jc w:val="left"/>
              <w:rPr>
                <w:rFonts w:ascii="仿宋" w:hAnsi="仿宋" w:eastAsia="仿宋" w:cs="仿宋"/>
                <w:bCs/>
                <w:sz w:val="22"/>
                <w:szCs w:val="21"/>
              </w:rPr>
            </w:pPr>
            <w:r>
              <w:rPr>
                <w:rFonts w:hint="eastAsia" w:ascii="仿宋" w:hAnsi="仿宋" w:eastAsia="仿宋" w:cs="仿宋"/>
                <w:bCs/>
                <w:sz w:val="22"/>
                <w:szCs w:val="21"/>
              </w:rPr>
              <w:t>债务还本支出</w:t>
            </w:r>
          </w:p>
        </w:tc>
        <w:tc>
          <w:tcPr>
            <w:tcW w:w="1206" w:type="dxa"/>
            <w:noWrap/>
            <w:vAlign w:val="center"/>
          </w:tcPr>
          <w:p w14:paraId="784FF8D8">
            <w:pPr>
              <w:adjustRightInd w:val="0"/>
              <w:snapToGrid w:val="0"/>
              <w:spacing w:line="300" w:lineRule="exact"/>
              <w:jc w:val="left"/>
              <w:rPr>
                <w:rFonts w:hint="default" w:ascii="仿宋" w:hAnsi="仿宋" w:eastAsia="仿宋" w:cs="仿宋"/>
                <w:bCs/>
                <w:sz w:val="24"/>
                <w:lang w:val="en-US" w:eastAsia="zh-CN"/>
              </w:rPr>
            </w:pPr>
            <w:r>
              <w:rPr>
                <w:rFonts w:hint="eastAsia" w:ascii="仿宋" w:hAnsi="仿宋" w:eastAsia="仿宋" w:cs="仿宋"/>
                <w:bCs/>
                <w:sz w:val="24"/>
              </w:rPr>
              <w:t>1</w:t>
            </w:r>
            <w:r>
              <w:rPr>
                <w:rFonts w:hint="eastAsia" w:ascii="仿宋" w:hAnsi="仿宋" w:eastAsia="仿宋" w:cs="仿宋"/>
                <w:bCs/>
                <w:sz w:val="24"/>
                <w:lang w:val="en-US" w:eastAsia="zh-CN"/>
              </w:rPr>
              <w:t>4920</w:t>
            </w:r>
          </w:p>
        </w:tc>
      </w:tr>
      <w:tr w14:paraId="05613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88" w:type="dxa"/>
            <w:noWrap/>
            <w:vAlign w:val="center"/>
          </w:tcPr>
          <w:p w14:paraId="2FCAAD9B">
            <w:pPr>
              <w:adjustRightInd w:val="0"/>
              <w:snapToGrid w:val="0"/>
              <w:spacing w:line="300" w:lineRule="exact"/>
              <w:jc w:val="center"/>
              <w:rPr>
                <w:rFonts w:hint="default" w:ascii="仿宋" w:hAnsi="仿宋" w:eastAsia="仿宋" w:cs="仿宋"/>
                <w:sz w:val="24"/>
                <w:lang w:val="en-US" w:eastAsia="zh-CN"/>
              </w:rPr>
            </w:pPr>
            <w:r>
              <w:rPr>
                <w:rFonts w:hint="eastAsia" w:ascii="仿宋" w:hAnsi="仿宋" w:eastAsia="仿宋" w:cs="仿宋"/>
                <w:sz w:val="24"/>
                <w:lang w:val="en-US" w:eastAsia="zh-CN"/>
              </w:rPr>
              <w:t>31</w:t>
            </w:r>
          </w:p>
        </w:tc>
        <w:tc>
          <w:tcPr>
            <w:tcW w:w="3223" w:type="dxa"/>
            <w:noWrap/>
            <w:vAlign w:val="center"/>
          </w:tcPr>
          <w:p w14:paraId="048E1C4B">
            <w:pPr>
              <w:adjustRightInd w:val="0"/>
              <w:snapToGrid w:val="0"/>
              <w:spacing w:line="300" w:lineRule="exact"/>
              <w:jc w:val="left"/>
              <w:rPr>
                <w:rFonts w:ascii="仿宋" w:hAnsi="仿宋" w:eastAsia="仿宋" w:cs="仿宋"/>
                <w:bCs/>
                <w:sz w:val="22"/>
                <w:szCs w:val="21"/>
              </w:rPr>
            </w:pPr>
            <w:r>
              <w:rPr>
                <w:rFonts w:hint="eastAsia" w:ascii="仿宋" w:hAnsi="仿宋" w:eastAsia="仿宋" w:cs="仿宋"/>
                <w:bCs/>
                <w:sz w:val="22"/>
                <w:szCs w:val="21"/>
              </w:rPr>
              <w:t>债务转贷收入</w:t>
            </w:r>
          </w:p>
        </w:tc>
        <w:tc>
          <w:tcPr>
            <w:tcW w:w="997" w:type="dxa"/>
            <w:noWrap/>
            <w:vAlign w:val="center"/>
          </w:tcPr>
          <w:p w14:paraId="2511303F">
            <w:pPr>
              <w:adjustRightInd w:val="0"/>
              <w:snapToGrid w:val="0"/>
              <w:spacing w:line="300" w:lineRule="exact"/>
              <w:jc w:val="left"/>
              <w:rPr>
                <w:rFonts w:hint="default" w:ascii="仿宋" w:hAnsi="仿宋" w:eastAsia="仿宋" w:cs="仿宋"/>
                <w:sz w:val="24"/>
                <w:lang w:val="en-US" w:eastAsia="zh-CN"/>
              </w:rPr>
            </w:pPr>
            <w:r>
              <w:rPr>
                <w:rFonts w:hint="eastAsia" w:ascii="仿宋" w:hAnsi="仿宋" w:eastAsia="仿宋" w:cs="仿宋"/>
                <w:sz w:val="24"/>
                <w:lang w:val="en-US" w:eastAsia="zh-CN"/>
              </w:rPr>
              <w:t>13400</w:t>
            </w:r>
          </w:p>
        </w:tc>
        <w:tc>
          <w:tcPr>
            <w:tcW w:w="2764" w:type="dxa"/>
            <w:noWrap/>
            <w:vAlign w:val="center"/>
          </w:tcPr>
          <w:p w14:paraId="3EF256FC">
            <w:pPr>
              <w:adjustRightInd w:val="0"/>
              <w:snapToGrid w:val="0"/>
              <w:spacing w:line="300" w:lineRule="exact"/>
              <w:jc w:val="left"/>
              <w:rPr>
                <w:rFonts w:ascii="仿宋" w:hAnsi="仿宋" w:eastAsia="仿宋" w:cs="仿宋"/>
                <w:bCs/>
                <w:sz w:val="22"/>
                <w:szCs w:val="21"/>
              </w:rPr>
            </w:pPr>
            <w:r>
              <w:rPr>
                <w:rFonts w:hint="eastAsia" w:ascii="仿宋" w:hAnsi="仿宋" w:eastAsia="仿宋" w:cs="仿宋"/>
                <w:bCs/>
                <w:sz w:val="22"/>
                <w:szCs w:val="21"/>
              </w:rPr>
              <w:t>安排预算稳定调节基金</w:t>
            </w:r>
          </w:p>
        </w:tc>
        <w:tc>
          <w:tcPr>
            <w:tcW w:w="1206" w:type="dxa"/>
            <w:noWrap/>
            <w:vAlign w:val="center"/>
          </w:tcPr>
          <w:p w14:paraId="7979EF2E">
            <w:pPr>
              <w:adjustRightInd w:val="0"/>
              <w:snapToGrid w:val="0"/>
              <w:spacing w:line="300" w:lineRule="exact"/>
              <w:jc w:val="left"/>
              <w:rPr>
                <w:rFonts w:hint="default" w:ascii="仿宋" w:hAnsi="仿宋" w:eastAsia="仿宋" w:cs="仿宋"/>
                <w:bCs/>
                <w:sz w:val="24"/>
                <w:lang w:val="en-US" w:eastAsia="zh-CN"/>
              </w:rPr>
            </w:pPr>
            <w:r>
              <w:rPr>
                <w:rFonts w:hint="eastAsia" w:ascii="仿宋" w:hAnsi="仿宋" w:eastAsia="仿宋" w:cs="仿宋"/>
                <w:bCs/>
                <w:sz w:val="24"/>
                <w:lang w:val="en-US" w:eastAsia="zh-CN"/>
              </w:rPr>
              <w:t>917</w:t>
            </w:r>
          </w:p>
        </w:tc>
      </w:tr>
      <w:tr w14:paraId="49695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88" w:type="dxa"/>
            <w:noWrap/>
            <w:vAlign w:val="center"/>
          </w:tcPr>
          <w:p w14:paraId="5D61BDE7">
            <w:pPr>
              <w:adjustRightInd w:val="0"/>
              <w:snapToGrid w:val="0"/>
              <w:spacing w:line="300" w:lineRule="exact"/>
              <w:ind w:firstLine="120" w:firstLineChars="50"/>
              <w:jc w:val="left"/>
              <w:rPr>
                <w:rFonts w:hint="eastAsia" w:ascii="仿宋" w:hAnsi="仿宋" w:eastAsia="仿宋" w:cs="仿宋"/>
                <w:sz w:val="24"/>
                <w:lang w:val="en-US" w:eastAsia="zh-CN"/>
              </w:rPr>
            </w:pPr>
            <w:r>
              <w:rPr>
                <w:rFonts w:hint="eastAsia" w:ascii="仿宋" w:hAnsi="仿宋" w:eastAsia="仿宋" w:cs="仿宋"/>
                <w:bCs/>
                <w:sz w:val="24"/>
              </w:rPr>
              <w:t>3</w:t>
            </w:r>
            <w:r>
              <w:rPr>
                <w:rFonts w:hint="eastAsia" w:ascii="仿宋" w:hAnsi="仿宋" w:eastAsia="仿宋" w:cs="仿宋"/>
                <w:bCs/>
                <w:sz w:val="24"/>
                <w:lang w:val="en-US" w:eastAsia="zh-CN"/>
              </w:rPr>
              <w:t>2</w:t>
            </w:r>
          </w:p>
        </w:tc>
        <w:tc>
          <w:tcPr>
            <w:tcW w:w="3223" w:type="dxa"/>
            <w:noWrap/>
            <w:vAlign w:val="center"/>
          </w:tcPr>
          <w:p w14:paraId="2E683477">
            <w:pPr>
              <w:adjustRightInd w:val="0"/>
              <w:snapToGrid w:val="0"/>
              <w:spacing w:line="300" w:lineRule="exact"/>
              <w:jc w:val="left"/>
              <w:rPr>
                <w:rFonts w:ascii="仿宋" w:hAnsi="仿宋" w:eastAsia="仿宋" w:cs="仿宋"/>
                <w:bCs/>
                <w:sz w:val="22"/>
                <w:szCs w:val="21"/>
              </w:rPr>
            </w:pPr>
            <w:r>
              <w:rPr>
                <w:rFonts w:hint="eastAsia" w:ascii="仿宋" w:hAnsi="仿宋" w:eastAsia="仿宋" w:cs="仿宋"/>
                <w:bCs/>
                <w:sz w:val="22"/>
                <w:szCs w:val="21"/>
              </w:rPr>
              <w:t>动用预算稳定基金</w:t>
            </w:r>
          </w:p>
        </w:tc>
        <w:tc>
          <w:tcPr>
            <w:tcW w:w="997" w:type="dxa"/>
            <w:noWrap/>
            <w:vAlign w:val="center"/>
          </w:tcPr>
          <w:p w14:paraId="6A31D3B7">
            <w:pPr>
              <w:adjustRightInd w:val="0"/>
              <w:snapToGrid w:val="0"/>
              <w:spacing w:line="300" w:lineRule="exact"/>
              <w:jc w:val="left"/>
              <w:rPr>
                <w:rFonts w:hint="default" w:ascii="仿宋" w:hAnsi="仿宋" w:eastAsia="仿宋" w:cs="仿宋"/>
                <w:sz w:val="24"/>
                <w:lang w:val="en-US" w:eastAsia="zh-CN"/>
              </w:rPr>
            </w:pPr>
            <w:r>
              <w:rPr>
                <w:rFonts w:hint="eastAsia" w:ascii="仿宋" w:hAnsi="仿宋" w:eastAsia="仿宋" w:cs="仿宋"/>
                <w:sz w:val="24"/>
                <w:lang w:val="en-US" w:eastAsia="zh-CN"/>
              </w:rPr>
              <w:t>1000</w:t>
            </w:r>
          </w:p>
        </w:tc>
        <w:tc>
          <w:tcPr>
            <w:tcW w:w="2764" w:type="dxa"/>
            <w:noWrap/>
            <w:vAlign w:val="center"/>
          </w:tcPr>
          <w:p w14:paraId="7693FA54">
            <w:pPr>
              <w:adjustRightInd w:val="0"/>
              <w:snapToGrid w:val="0"/>
              <w:spacing w:line="300" w:lineRule="exact"/>
              <w:jc w:val="left"/>
              <w:rPr>
                <w:rFonts w:ascii="仿宋" w:hAnsi="仿宋" w:eastAsia="仿宋" w:cs="仿宋"/>
                <w:bCs/>
                <w:sz w:val="22"/>
                <w:szCs w:val="21"/>
              </w:rPr>
            </w:pPr>
            <w:r>
              <w:rPr>
                <w:rFonts w:hint="eastAsia" w:ascii="仿宋" w:hAnsi="仿宋" w:eastAsia="仿宋" w:cs="仿宋"/>
                <w:bCs/>
                <w:sz w:val="22"/>
                <w:szCs w:val="21"/>
              </w:rPr>
              <w:t>调出资金</w:t>
            </w:r>
          </w:p>
        </w:tc>
        <w:tc>
          <w:tcPr>
            <w:tcW w:w="1206" w:type="dxa"/>
            <w:noWrap/>
            <w:vAlign w:val="center"/>
          </w:tcPr>
          <w:p w14:paraId="7DE25192">
            <w:pPr>
              <w:adjustRightInd w:val="0"/>
              <w:snapToGrid w:val="0"/>
              <w:spacing w:line="300" w:lineRule="exact"/>
              <w:jc w:val="left"/>
              <w:rPr>
                <w:rFonts w:hint="default" w:ascii="仿宋" w:hAnsi="仿宋" w:eastAsia="仿宋" w:cs="仿宋"/>
                <w:sz w:val="24"/>
                <w:lang w:val="en-US" w:eastAsia="zh-CN"/>
              </w:rPr>
            </w:pPr>
            <w:r>
              <w:rPr>
                <w:rFonts w:hint="eastAsia" w:ascii="仿宋" w:hAnsi="仿宋" w:eastAsia="仿宋" w:cs="仿宋"/>
                <w:sz w:val="24"/>
                <w:lang w:val="en-US" w:eastAsia="zh-CN"/>
              </w:rPr>
              <w:t>8956</w:t>
            </w:r>
          </w:p>
        </w:tc>
      </w:tr>
      <w:tr w14:paraId="20E77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88" w:type="dxa"/>
            <w:noWrap/>
            <w:vAlign w:val="center"/>
          </w:tcPr>
          <w:p w14:paraId="409F033F">
            <w:pPr>
              <w:adjustRightInd w:val="0"/>
              <w:snapToGrid w:val="0"/>
              <w:spacing w:line="300" w:lineRule="exact"/>
              <w:jc w:val="center"/>
              <w:rPr>
                <w:rFonts w:hint="eastAsia" w:ascii="仿宋" w:hAnsi="仿宋" w:eastAsia="仿宋" w:cs="仿宋"/>
                <w:bCs/>
                <w:sz w:val="24"/>
                <w:lang w:val="en-US" w:eastAsia="zh-CN"/>
              </w:rPr>
            </w:pPr>
            <w:r>
              <w:rPr>
                <w:rFonts w:hint="eastAsia" w:ascii="仿宋" w:hAnsi="仿宋" w:eastAsia="仿宋" w:cs="仿宋"/>
                <w:sz w:val="24"/>
              </w:rPr>
              <w:t>3</w:t>
            </w:r>
            <w:r>
              <w:rPr>
                <w:rFonts w:hint="eastAsia" w:ascii="仿宋" w:hAnsi="仿宋" w:eastAsia="仿宋" w:cs="仿宋"/>
                <w:sz w:val="24"/>
                <w:lang w:val="en-US" w:eastAsia="zh-CN"/>
              </w:rPr>
              <w:t>3</w:t>
            </w:r>
          </w:p>
        </w:tc>
        <w:tc>
          <w:tcPr>
            <w:tcW w:w="3223" w:type="dxa"/>
            <w:noWrap/>
            <w:vAlign w:val="center"/>
          </w:tcPr>
          <w:p w14:paraId="2C6D7669">
            <w:pPr>
              <w:adjustRightInd w:val="0"/>
              <w:snapToGrid w:val="0"/>
              <w:spacing w:line="300" w:lineRule="exact"/>
              <w:jc w:val="left"/>
              <w:rPr>
                <w:rFonts w:ascii="仿宋" w:hAnsi="仿宋" w:eastAsia="仿宋" w:cs="仿宋"/>
                <w:bCs/>
                <w:sz w:val="22"/>
                <w:szCs w:val="21"/>
              </w:rPr>
            </w:pPr>
            <w:r>
              <w:rPr>
                <w:rFonts w:hint="eastAsia" w:ascii="仿宋" w:hAnsi="仿宋" w:eastAsia="仿宋" w:cs="仿宋"/>
                <w:bCs/>
                <w:sz w:val="22"/>
                <w:szCs w:val="21"/>
              </w:rPr>
              <w:t>调入资金</w:t>
            </w:r>
          </w:p>
        </w:tc>
        <w:tc>
          <w:tcPr>
            <w:tcW w:w="997" w:type="dxa"/>
            <w:noWrap/>
            <w:vAlign w:val="center"/>
          </w:tcPr>
          <w:p w14:paraId="1285D022">
            <w:pPr>
              <w:adjustRightInd w:val="0"/>
              <w:snapToGrid w:val="0"/>
              <w:spacing w:line="300" w:lineRule="exact"/>
              <w:jc w:val="left"/>
              <w:rPr>
                <w:rFonts w:hint="default" w:ascii="仿宋" w:hAnsi="仿宋" w:eastAsia="仿宋" w:cs="仿宋"/>
                <w:sz w:val="24"/>
                <w:lang w:val="en-US" w:eastAsia="zh-CN"/>
              </w:rPr>
            </w:pPr>
            <w:r>
              <w:rPr>
                <w:rFonts w:hint="eastAsia" w:ascii="仿宋" w:hAnsi="仿宋" w:eastAsia="仿宋" w:cs="仿宋"/>
                <w:sz w:val="24"/>
                <w:lang w:val="en-US" w:eastAsia="zh-CN"/>
              </w:rPr>
              <w:t>11000</w:t>
            </w:r>
          </w:p>
        </w:tc>
        <w:tc>
          <w:tcPr>
            <w:tcW w:w="2764" w:type="dxa"/>
            <w:noWrap/>
            <w:vAlign w:val="center"/>
          </w:tcPr>
          <w:p w14:paraId="002D7A0B">
            <w:pPr>
              <w:adjustRightInd w:val="0"/>
              <w:snapToGrid w:val="0"/>
              <w:spacing w:line="300" w:lineRule="exact"/>
              <w:jc w:val="left"/>
              <w:rPr>
                <w:rFonts w:ascii="仿宋" w:hAnsi="仿宋" w:eastAsia="仿宋" w:cs="仿宋"/>
                <w:bCs/>
                <w:sz w:val="22"/>
                <w:szCs w:val="21"/>
              </w:rPr>
            </w:pPr>
          </w:p>
        </w:tc>
        <w:tc>
          <w:tcPr>
            <w:tcW w:w="1206" w:type="dxa"/>
            <w:noWrap/>
            <w:vAlign w:val="center"/>
          </w:tcPr>
          <w:p w14:paraId="72279864">
            <w:pPr>
              <w:adjustRightInd w:val="0"/>
              <w:snapToGrid w:val="0"/>
              <w:spacing w:line="300" w:lineRule="exact"/>
              <w:jc w:val="left"/>
              <w:rPr>
                <w:rFonts w:ascii="仿宋" w:hAnsi="仿宋" w:eastAsia="仿宋" w:cs="仿宋"/>
                <w:bCs/>
                <w:sz w:val="24"/>
              </w:rPr>
            </w:pPr>
          </w:p>
        </w:tc>
      </w:tr>
      <w:tr w14:paraId="0E8A2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88" w:type="dxa"/>
            <w:noWrap/>
            <w:vAlign w:val="center"/>
          </w:tcPr>
          <w:p w14:paraId="563062C5">
            <w:pPr>
              <w:adjustRightInd w:val="0"/>
              <w:snapToGrid w:val="0"/>
              <w:spacing w:line="300" w:lineRule="exact"/>
              <w:jc w:val="center"/>
              <w:rPr>
                <w:rFonts w:hint="eastAsia" w:ascii="仿宋" w:hAnsi="仿宋" w:eastAsia="仿宋" w:cs="仿宋"/>
                <w:sz w:val="24"/>
                <w:lang w:val="en-US" w:eastAsia="zh-CN"/>
              </w:rPr>
            </w:pPr>
            <w:r>
              <w:rPr>
                <w:rFonts w:hint="eastAsia" w:ascii="仿宋" w:hAnsi="仿宋" w:eastAsia="仿宋" w:cs="仿宋"/>
                <w:sz w:val="24"/>
              </w:rPr>
              <w:t>3</w:t>
            </w:r>
            <w:r>
              <w:rPr>
                <w:rFonts w:hint="eastAsia" w:ascii="仿宋" w:hAnsi="仿宋" w:eastAsia="仿宋" w:cs="仿宋"/>
                <w:sz w:val="24"/>
                <w:lang w:val="en-US" w:eastAsia="zh-CN"/>
              </w:rPr>
              <w:t>5</w:t>
            </w:r>
          </w:p>
        </w:tc>
        <w:tc>
          <w:tcPr>
            <w:tcW w:w="3223" w:type="dxa"/>
            <w:noWrap/>
            <w:vAlign w:val="center"/>
          </w:tcPr>
          <w:p w14:paraId="2E4FBA1F">
            <w:pPr>
              <w:adjustRightInd w:val="0"/>
              <w:snapToGrid w:val="0"/>
              <w:spacing w:line="300" w:lineRule="exact"/>
              <w:jc w:val="left"/>
              <w:rPr>
                <w:rFonts w:ascii="仿宋" w:hAnsi="仿宋" w:eastAsia="仿宋" w:cs="仿宋"/>
                <w:bCs/>
                <w:sz w:val="22"/>
                <w:szCs w:val="21"/>
              </w:rPr>
            </w:pPr>
            <w:r>
              <w:rPr>
                <w:rFonts w:hint="eastAsia" w:ascii="仿宋" w:hAnsi="仿宋" w:eastAsia="仿宋" w:cs="仿宋"/>
                <w:bCs/>
                <w:sz w:val="22"/>
                <w:szCs w:val="21"/>
              </w:rPr>
              <w:t xml:space="preserve">  从国有资本经营预算中调入</w:t>
            </w:r>
          </w:p>
        </w:tc>
        <w:tc>
          <w:tcPr>
            <w:tcW w:w="997" w:type="dxa"/>
            <w:noWrap/>
            <w:vAlign w:val="center"/>
          </w:tcPr>
          <w:p w14:paraId="1DD3CFC8">
            <w:pPr>
              <w:adjustRightInd w:val="0"/>
              <w:snapToGrid w:val="0"/>
              <w:spacing w:line="300" w:lineRule="exact"/>
              <w:jc w:val="left"/>
              <w:rPr>
                <w:rFonts w:hint="default" w:ascii="仿宋" w:hAnsi="仿宋" w:eastAsia="仿宋" w:cs="仿宋"/>
                <w:sz w:val="24"/>
                <w:lang w:val="en-US" w:eastAsia="zh-CN"/>
              </w:rPr>
            </w:pPr>
            <w:r>
              <w:rPr>
                <w:rFonts w:hint="eastAsia" w:ascii="仿宋" w:hAnsi="仿宋" w:eastAsia="仿宋" w:cs="仿宋"/>
                <w:sz w:val="24"/>
                <w:lang w:val="en-US" w:eastAsia="zh-CN"/>
              </w:rPr>
              <w:t>11000</w:t>
            </w:r>
          </w:p>
        </w:tc>
        <w:tc>
          <w:tcPr>
            <w:tcW w:w="2764" w:type="dxa"/>
            <w:noWrap/>
            <w:vAlign w:val="center"/>
          </w:tcPr>
          <w:p w14:paraId="29BB9FCD">
            <w:pPr>
              <w:adjustRightInd w:val="0"/>
              <w:snapToGrid w:val="0"/>
              <w:spacing w:line="300" w:lineRule="exact"/>
              <w:ind w:firstLine="110" w:firstLineChars="50"/>
              <w:jc w:val="left"/>
              <w:rPr>
                <w:rFonts w:ascii="仿宋" w:hAnsi="仿宋" w:eastAsia="仿宋" w:cs="仿宋"/>
                <w:bCs/>
                <w:sz w:val="22"/>
                <w:szCs w:val="21"/>
              </w:rPr>
            </w:pPr>
          </w:p>
        </w:tc>
        <w:tc>
          <w:tcPr>
            <w:tcW w:w="1206" w:type="dxa"/>
            <w:noWrap/>
            <w:vAlign w:val="center"/>
          </w:tcPr>
          <w:p w14:paraId="74E23668">
            <w:pPr>
              <w:adjustRightInd w:val="0"/>
              <w:snapToGrid w:val="0"/>
              <w:spacing w:line="300" w:lineRule="exact"/>
              <w:jc w:val="left"/>
              <w:rPr>
                <w:rFonts w:ascii="仿宋" w:hAnsi="仿宋" w:eastAsia="仿宋" w:cs="仿宋"/>
                <w:bCs/>
                <w:sz w:val="24"/>
              </w:rPr>
            </w:pPr>
          </w:p>
        </w:tc>
      </w:tr>
      <w:tr w14:paraId="7A0AE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88" w:type="dxa"/>
            <w:noWrap/>
            <w:vAlign w:val="center"/>
          </w:tcPr>
          <w:p w14:paraId="1812A1B6">
            <w:pPr>
              <w:adjustRightInd w:val="0"/>
              <w:snapToGrid w:val="0"/>
              <w:spacing w:line="300" w:lineRule="exact"/>
              <w:jc w:val="center"/>
              <w:rPr>
                <w:rFonts w:hint="eastAsia" w:ascii="仿宋" w:hAnsi="仿宋" w:eastAsia="仿宋" w:cs="仿宋"/>
                <w:sz w:val="24"/>
                <w:lang w:val="en-US" w:eastAsia="zh-CN"/>
              </w:rPr>
            </w:pPr>
            <w:r>
              <w:rPr>
                <w:rFonts w:hint="eastAsia" w:ascii="仿宋" w:hAnsi="仿宋" w:eastAsia="仿宋" w:cs="仿宋"/>
                <w:sz w:val="24"/>
              </w:rPr>
              <w:t>3</w:t>
            </w:r>
            <w:r>
              <w:rPr>
                <w:rFonts w:hint="eastAsia" w:ascii="仿宋" w:hAnsi="仿宋" w:eastAsia="仿宋" w:cs="仿宋"/>
                <w:sz w:val="24"/>
                <w:lang w:val="en-US" w:eastAsia="zh-CN"/>
              </w:rPr>
              <w:t>7</w:t>
            </w:r>
          </w:p>
        </w:tc>
        <w:tc>
          <w:tcPr>
            <w:tcW w:w="3223" w:type="dxa"/>
            <w:noWrap/>
            <w:vAlign w:val="center"/>
          </w:tcPr>
          <w:p w14:paraId="0E802919">
            <w:pPr>
              <w:adjustRightInd w:val="0"/>
              <w:snapToGrid w:val="0"/>
              <w:spacing w:line="300" w:lineRule="exact"/>
              <w:jc w:val="left"/>
              <w:rPr>
                <w:rFonts w:ascii="仿宋" w:hAnsi="仿宋" w:eastAsia="仿宋" w:cs="仿宋"/>
                <w:bCs/>
                <w:sz w:val="22"/>
                <w:szCs w:val="21"/>
              </w:rPr>
            </w:pPr>
            <w:r>
              <w:rPr>
                <w:rFonts w:hint="eastAsia" w:ascii="仿宋" w:hAnsi="仿宋" w:eastAsia="仿宋" w:cs="仿宋"/>
                <w:bCs/>
                <w:sz w:val="22"/>
                <w:szCs w:val="21"/>
              </w:rPr>
              <w:t>上年结余</w:t>
            </w:r>
          </w:p>
        </w:tc>
        <w:tc>
          <w:tcPr>
            <w:tcW w:w="997" w:type="dxa"/>
            <w:noWrap/>
            <w:vAlign w:val="center"/>
          </w:tcPr>
          <w:p w14:paraId="65BAD72F">
            <w:pPr>
              <w:adjustRightInd w:val="0"/>
              <w:snapToGrid w:val="0"/>
              <w:spacing w:line="300" w:lineRule="exact"/>
              <w:jc w:val="left"/>
              <w:rPr>
                <w:rFonts w:hint="default" w:ascii="仿宋" w:hAnsi="仿宋" w:eastAsia="仿宋" w:cs="仿宋"/>
                <w:sz w:val="24"/>
                <w:lang w:val="en-US" w:eastAsia="zh-CN"/>
              </w:rPr>
            </w:pPr>
            <w:r>
              <w:rPr>
                <w:rFonts w:hint="eastAsia" w:ascii="仿宋" w:hAnsi="仿宋" w:eastAsia="仿宋" w:cs="仿宋"/>
                <w:sz w:val="24"/>
                <w:lang w:val="en-US" w:eastAsia="zh-CN"/>
              </w:rPr>
              <w:t>3700</w:t>
            </w:r>
          </w:p>
        </w:tc>
        <w:tc>
          <w:tcPr>
            <w:tcW w:w="2764" w:type="dxa"/>
            <w:noWrap/>
            <w:vAlign w:val="center"/>
          </w:tcPr>
          <w:p w14:paraId="61EF9351">
            <w:pPr>
              <w:adjustRightInd w:val="0"/>
              <w:snapToGrid w:val="0"/>
              <w:spacing w:line="300" w:lineRule="exact"/>
              <w:jc w:val="left"/>
              <w:rPr>
                <w:rFonts w:ascii="仿宋" w:hAnsi="仿宋" w:eastAsia="仿宋" w:cs="仿宋"/>
                <w:bCs/>
                <w:sz w:val="22"/>
                <w:szCs w:val="21"/>
              </w:rPr>
            </w:pPr>
          </w:p>
        </w:tc>
        <w:tc>
          <w:tcPr>
            <w:tcW w:w="1206" w:type="dxa"/>
            <w:noWrap/>
            <w:vAlign w:val="center"/>
          </w:tcPr>
          <w:p w14:paraId="108486BE">
            <w:pPr>
              <w:adjustRightInd w:val="0"/>
              <w:snapToGrid w:val="0"/>
              <w:spacing w:line="300" w:lineRule="exact"/>
              <w:jc w:val="left"/>
              <w:rPr>
                <w:rFonts w:ascii="仿宋" w:hAnsi="仿宋" w:eastAsia="仿宋" w:cs="仿宋"/>
                <w:bCs/>
                <w:sz w:val="24"/>
              </w:rPr>
            </w:pPr>
          </w:p>
        </w:tc>
      </w:tr>
      <w:tr w14:paraId="170F0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trPr>
        <w:tc>
          <w:tcPr>
            <w:tcW w:w="788" w:type="dxa"/>
            <w:noWrap/>
            <w:vAlign w:val="center"/>
          </w:tcPr>
          <w:p w14:paraId="36C48F2A">
            <w:pPr>
              <w:adjustRightInd w:val="0"/>
              <w:snapToGrid w:val="0"/>
              <w:spacing w:line="300" w:lineRule="exact"/>
              <w:jc w:val="center"/>
              <w:rPr>
                <w:rFonts w:hint="eastAsia" w:ascii="仿宋" w:hAnsi="仿宋" w:eastAsia="仿宋" w:cs="仿宋"/>
                <w:sz w:val="24"/>
                <w:lang w:val="en-US" w:eastAsia="zh-CN"/>
              </w:rPr>
            </w:pPr>
            <w:r>
              <w:rPr>
                <w:rFonts w:hint="eastAsia" w:ascii="仿宋" w:hAnsi="仿宋" w:eastAsia="仿宋" w:cs="仿宋"/>
                <w:sz w:val="24"/>
              </w:rPr>
              <w:t>3</w:t>
            </w:r>
            <w:r>
              <w:rPr>
                <w:rFonts w:hint="eastAsia" w:ascii="仿宋" w:hAnsi="仿宋" w:eastAsia="仿宋" w:cs="仿宋"/>
                <w:sz w:val="24"/>
                <w:lang w:val="en-US" w:eastAsia="zh-CN"/>
              </w:rPr>
              <w:t>8</w:t>
            </w:r>
          </w:p>
        </w:tc>
        <w:tc>
          <w:tcPr>
            <w:tcW w:w="3223" w:type="dxa"/>
            <w:noWrap/>
            <w:vAlign w:val="center"/>
          </w:tcPr>
          <w:p w14:paraId="27193468">
            <w:pPr>
              <w:adjustRightInd w:val="0"/>
              <w:snapToGrid w:val="0"/>
              <w:spacing w:line="300" w:lineRule="exact"/>
              <w:jc w:val="center"/>
              <w:rPr>
                <w:rFonts w:ascii="仿宋" w:hAnsi="仿宋" w:eastAsia="仿宋" w:cs="仿宋"/>
                <w:b/>
                <w:sz w:val="22"/>
                <w:szCs w:val="21"/>
              </w:rPr>
            </w:pPr>
            <w:r>
              <w:rPr>
                <w:rFonts w:hint="eastAsia" w:ascii="仿宋" w:hAnsi="仿宋" w:eastAsia="仿宋" w:cs="仿宋"/>
                <w:b/>
                <w:sz w:val="22"/>
                <w:szCs w:val="21"/>
              </w:rPr>
              <w:t>收入总计</w:t>
            </w:r>
          </w:p>
        </w:tc>
        <w:tc>
          <w:tcPr>
            <w:tcW w:w="997" w:type="dxa"/>
            <w:noWrap/>
            <w:vAlign w:val="center"/>
          </w:tcPr>
          <w:p w14:paraId="69373705">
            <w:pPr>
              <w:adjustRightInd w:val="0"/>
              <w:snapToGrid w:val="0"/>
              <w:spacing w:line="300" w:lineRule="exact"/>
              <w:jc w:val="left"/>
              <w:rPr>
                <w:rFonts w:hint="default" w:ascii="仿宋" w:hAnsi="仿宋" w:eastAsia="仿宋" w:cs="仿宋"/>
                <w:b/>
                <w:sz w:val="24"/>
                <w:lang w:val="en-US" w:eastAsia="zh-CN"/>
              </w:rPr>
            </w:pPr>
            <w:r>
              <w:rPr>
                <w:rFonts w:hint="eastAsia" w:ascii="仿宋" w:hAnsi="仿宋" w:eastAsia="仿宋" w:cs="仿宋"/>
                <w:b/>
                <w:sz w:val="24"/>
                <w:lang w:val="en-US" w:eastAsia="zh-CN"/>
              </w:rPr>
              <w:t>462685</w:t>
            </w:r>
          </w:p>
        </w:tc>
        <w:tc>
          <w:tcPr>
            <w:tcW w:w="2764" w:type="dxa"/>
            <w:noWrap/>
            <w:vAlign w:val="center"/>
          </w:tcPr>
          <w:p w14:paraId="053BBFD1">
            <w:pPr>
              <w:adjustRightInd w:val="0"/>
              <w:snapToGrid w:val="0"/>
              <w:spacing w:line="300" w:lineRule="exact"/>
              <w:jc w:val="center"/>
              <w:rPr>
                <w:rFonts w:ascii="仿宋" w:hAnsi="仿宋" w:eastAsia="仿宋" w:cs="仿宋"/>
                <w:b/>
                <w:sz w:val="24"/>
              </w:rPr>
            </w:pPr>
            <w:r>
              <w:rPr>
                <w:rFonts w:hint="eastAsia" w:ascii="仿宋" w:hAnsi="仿宋" w:eastAsia="仿宋" w:cs="仿宋"/>
                <w:b/>
                <w:sz w:val="24"/>
              </w:rPr>
              <w:t>支出总计</w:t>
            </w:r>
          </w:p>
        </w:tc>
        <w:tc>
          <w:tcPr>
            <w:tcW w:w="1206" w:type="dxa"/>
            <w:noWrap/>
            <w:vAlign w:val="center"/>
          </w:tcPr>
          <w:p w14:paraId="210FD179">
            <w:pPr>
              <w:adjustRightInd w:val="0"/>
              <w:snapToGrid w:val="0"/>
              <w:spacing w:line="300" w:lineRule="exact"/>
              <w:jc w:val="left"/>
              <w:rPr>
                <w:rFonts w:hint="default" w:ascii="仿宋" w:hAnsi="仿宋" w:eastAsia="仿宋" w:cs="仿宋"/>
                <w:b/>
                <w:sz w:val="24"/>
                <w:lang w:val="en-US" w:eastAsia="zh-CN"/>
              </w:rPr>
            </w:pPr>
            <w:r>
              <w:rPr>
                <w:rFonts w:hint="eastAsia" w:ascii="仿宋" w:hAnsi="仿宋" w:eastAsia="仿宋" w:cs="仿宋"/>
                <w:b/>
                <w:sz w:val="24"/>
                <w:lang w:val="en-US" w:eastAsia="zh-CN"/>
              </w:rPr>
              <w:t>462685</w:t>
            </w:r>
          </w:p>
        </w:tc>
      </w:tr>
    </w:tbl>
    <w:p w14:paraId="0AE6F30D">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仿宋" w:hAnsi="仿宋" w:eastAsia="仿宋" w:cs="仿宋"/>
          <w:sz w:val="32"/>
          <w:szCs w:val="32"/>
          <w:highlight w:val="none"/>
        </w:rPr>
      </w:pPr>
      <w:r>
        <w:rPr>
          <w:rFonts w:hint="eastAsia" w:ascii="仿宋" w:hAnsi="仿宋" w:eastAsia="仿宋" w:cs="仿宋"/>
          <w:sz w:val="32"/>
          <w:szCs w:val="32"/>
          <w:highlight w:val="none"/>
        </w:rPr>
        <w:t>附表二</w:t>
      </w:r>
    </w:p>
    <w:p w14:paraId="5B043B7F">
      <w:pPr>
        <w:pStyle w:val="8"/>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bCs/>
          <w:sz w:val="44"/>
          <w:szCs w:val="44"/>
          <w:highlight w:val="none"/>
        </w:rPr>
      </w:pPr>
      <w:r>
        <w:rPr>
          <w:rFonts w:hint="eastAsia" w:ascii="黑体" w:hAnsi="黑体" w:eastAsia="黑体" w:cs="黑体"/>
          <w:bCs/>
          <w:sz w:val="40"/>
          <w:szCs w:val="40"/>
          <w:highlight w:val="none"/>
        </w:rPr>
        <w:t>西峡县202</w:t>
      </w:r>
      <w:r>
        <w:rPr>
          <w:rFonts w:hint="eastAsia" w:ascii="黑体" w:hAnsi="黑体" w:eastAsia="黑体" w:cs="黑体"/>
          <w:bCs/>
          <w:sz w:val="40"/>
          <w:szCs w:val="40"/>
          <w:highlight w:val="none"/>
          <w:lang w:val="en-US" w:eastAsia="zh-CN"/>
        </w:rPr>
        <w:t>5</w:t>
      </w:r>
      <w:r>
        <w:rPr>
          <w:rFonts w:hint="eastAsia" w:ascii="黑体" w:hAnsi="黑体" w:eastAsia="黑体" w:cs="黑体"/>
          <w:bCs/>
          <w:sz w:val="40"/>
          <w:szCs w:val="40"/>
          <w:highlight w:val="none"/>
        </w:rPr>
        <w:t>年政府性基金收支决算总表</w:t>
      </w:r>
      <w:r>
        <w:rPr>
          <w:rFonts w:hint="eastAsia" w:ascii="黑体" w:hAnsi="黑体" w:eastAsia="黑体" w:cs="黑体"/>
          <w:bCs/>
          <w:sz w:val="40"/>
          <w:szCs w:val="40"/>
          <w:highlight w:val="none"/>
          <w:lang w:eastAsia="zh-CN"/>
        </w:rPr>
        <w:t>（草案）</w:t>
      </w:r>
    </w:p>
    <w:p w14:paraId="6BBA81C5">
      <w:pPr>
        <w:pStyle w:val="8"/>
        <w:keepNext w:val="0"/>
        <w:keepLines w:val="0"/>
        <w:pageBreakBefore w:val="0"/>
        <w:widowControl w:val="0"/>
        <w:kinsoku/>
        <w:wordWrap/>
        <w:overflowPunct/>
        <w:topLinePunct w:val="0"/>
        <w:autoSpaceDE/>
        <w:autoSpaceDN/>
        <w:bidi w:val="0"/>
        <w:adjustRightInd w:val="0"/>
        <w:snapToGrid w:val="0"/>
        <w:spacing w:line="560" w:lineRule="exact"/>
        <w:ind w:firstLine="320" w:firstLineChars="100"/>
        <w:jc w:val="right"/>
        <w:textAlignment w:val="auto"/>
        <w:rPr>
          <w:rFonts w:ascii="仿宋" w:hAnsi="仿宋" w:eastAsia="仿宋" w:cs="仿宋"/>
          <w:kern w:val="0"/>
          <w:sz w:val="32"/>
          <w:szCs w:val="32"/>
        </w:rPr>
      </w:pPr>
      <w:r>
        <w:rPr>
          <w:rFonts w:hint="eastAsia" w:ascii="仿宋" w:hAnsi="仿宋" w:eastAsia="仿宋" w:cs="仿宋"/>
          <w:sz w:val="32"/>
          <w:szCs w:val="32"/>
        </w:rPr>
        <w:t>单位:万元</w:t>
      </w:r>
    </w:p>
    <w:tbl>
      <w:tblPr>
        <w:tblStyle w:val="13"/>
        <w:tblW w:w="87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29"/>
        <w:gridCol w:w="1228"/>
        <w:gridCol w:w="2744"/>
        <w:gridCol w:w="1130"/>
        <w:gridCol w:w="8"/>
      </w:tblGrid>
      <w:tr w14:paraId="4487D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76" w:hRule="atLeast"/>
          <w:jc w:val="center"/>
        </w:trPr>
        <w:tc>
          <w:tcPr>
            <w:tcW w:w="3629" w:type="dxa"/>
            <w:noWrap/>
            <w:vAlign w:val="center"/>
          </w:tcPr>
          <w:p w14:paraId="506A5F19">
            <w:pPr>
              <w:adjustRightInd w:val="0"/>
              <w:snapToGrid w:val="0"/>
              <w:jc w:val="center"/>
              <w:rPr>
                <w:rFonts w:ascii="黑体" w:hAnsi="黑体" w:eastAsia="黑体" w:cs="黑体"/>
                <w:bCs/>
                <w:sz w:val="28"/>
                <w:szCs w:val="28"/>
              </w:rPr>
            </w:pPr>
            <w:r>
              <w:rPr>
                <w:rFonts w:hint="eastAsia" w:ascii="黑体" w:hAnsi="黑体" w:eastAsia="黑体" w:cs="黑体"/>
                <w:bCs/>
                <w:sz w:val="28"/>
                <w:szCs w:val="28"/>
              </w:rPr>
              <w:t>预算科目</w:t>
            </w:r>
          </w:p>
        </w:tc>
        <w:tc>
          <w:tcPr>
            <w:tcW w:w="1228" w:type="dxa"/>
            <w:noWrap/>
            <w:vAlign w:val="center"/>
          </w:tcPr>
          <w:p w14:paraId="6B48FF05">
            <w:pPr>
              <w:adjustRightInd w:val="0"/>
              <w:snapToGrid w:val="0"/>
              <w:jc w:val="center"/>
              <w:rPr>
                <w:rFonts w:ascii="黑体" w:hAnsi="黑体" w:eastAsia="黑体" w:cs="黑体"/>
                <w:bCs/>
                <w:sz w:val="28"/>
                <w:szCs w:val="28"/>
              </w:rPr>
            </w:pPr>
            <w:r>
              <w:rPr>
                <w:rFonts w:hint="eastAsia" w:ascii="黑体" w:hAnsi="黑体" w:eastAsia="黑体" w:cs="黑体"/>
                <w:bCs/>
                <w:sz w:val="28"/>
                <w:szCs w:val="28"/>
              </w:rPr>
              <w:t>决算数</w:t>
            </w:r>
          </w:p>
        </w:tc>
        <w:tc>
          <w:tcPr>
            <w:tcW w:w="2744" w:type="dxa"/>
            <w:noWrap/>
            <w:vAlign w:val="center"/>
          </w:tcPr>
          <w:p w14:paraId="1A64AD12">
            <w:pPr>
              <w:adjustRightInd w:val="0"/>
              <w:snapToGrid w:val="0"/>
              <w:jc w:val="center"/>
              <w:rPr>
                <w:rFonts w:ascii="黑体" w:hAnsi="黑体" w:eastAsia="黑体" w:cs="黑体"/>
                <w:bCs/>
                <w:sz w:val="28"/>
                <w:szCs w:val="28"/>
              </w:rPr>
            </w:pPr>
            <w:r>
              <w:rPr>
                <w:rFonts w:hint="eastAsia" w:ascii="黑体" w:hAnsi="黑体" w:eastAsia="黑体" w:cs="黑体"/>
                <w:bCs/>
                <w:sz w:val="28"/>
                <w:szCs w:val="28"/>
              </w:rPr>
              <w:t>预算科目</w:t>
            </w:r>
          </w:p>
        </w:tc>
        <w:tc>
          <w:tcPr>
            <w:tcW w:w="1130" w:type="dxa"/>
            <w:noWrap/>
            <w:vAlign w:val="center"/>
          </w:tcPr>
          <w:p w14:paraId="773DE794">
            <w:pPr>
              <w:adjustRightInd w:val="0"/>
              <w:snapToGrid w:val="0"/>
              <w:jc w:val="center"/>
              <w:rPr>
                <w:rFonts w:ascii="黑体" w:hAnsi="黑体" w:eastAsia="黑体" w:cs="黑体"/>
                <w:bCs/>
                <w:sz w:val="28"/>
                <w:szCs w:val="28"/>
              </w:rPr>
            </w:pPr>
            <w:r>
              <w:rPr>
                <w:rFonts w:hint="eastAsia" w:ascii="黑体" w:hAnsi="黑体" w:eastAsia="黑体" w:cs="黑体"/>
                <w:bCs/>
                <w:sz w:val="28"/>
                <w:szCs w:val="28"/>
              </w:rPr>
              <w:t>决算数</w:t>
            </w:r>
          </w:p>
        </w:tc>
      </w:tr>
      <w:tr w14:paraId="1A8D5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80" w:hRule="atLeast"/>
          <w:jc w:val="center"/>
        </w:trPr>
        <w:tc>
          <w:tcPr>
            <w:tcW w:w="3629" w:type="dxa"/>
            <w:noWrap/>
            <w:vAlign w:val="center"/>
          </w:tcPr>
          <w:p w14:paraId="42B336F1">
            <w:pPr>
              <w:adjustRightInd w:val="0"/>
              <w:snapToGrid w:val="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污水处理费收入</w:t>
            </w:r>
          </w:p>
        </w:tc>
        <w:tc>
          <w:tcPr>
            <w:tcW w:w="1228" w:type="dxa"/>
            <w:noWrap/>
            <w:vAlign w:val="center"/>
          </w:tcPr>
          <w:p w14:paraId="5F3C489C">
            <w:pPr>
              <w:adjustRightInd w:val="0"/>
              <w:snapToGrid w:val="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446</w:t>
            </w:r>
          </w:p>
        </w:tc>
        <w:tc>
          <w:tcPr>
            <w:tcW w:w="2744" w:type="dxa"/>
            <w:noWrap/>
            <w:vAlign w:val="center"/>
          </w:tcPr>
          <w:p w14:paraId="08A2124E">
            <w:pPr>
              <w:adjustRightInd w:val="0"/>
              <w:snapToGrid w:val="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文化旅游体育与传媒支出</w:t>
            </w:r>
          </w:p>
        </w:tc>
        <w:tc>
          <w:tcPr>
            <w:tcW w:w="1130" w:type="dxa"/>
            <w:noWrap/>
            <w:vAlign w:val="center"/>
          </w:tcPr>
          <w:p w14:paraId="7863DEDA">
            <w:pPr>
              <w:adjustRightInd w:val="0"/>
              <w:snapToGrid w:val="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19</w:t>
            </w:r>
          </w:p>
        </w:tc>
      </w:tr>
      <w:tr w14:paraId="6F315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80" w:hRule="atLeast"/>
          <w:jc w:val="center"/>
        </w:trPr>
        <w:tc>
          <w:tcPr>
            <w:tcW w:w="3629" w:type="dxa"/>
            <w:noWrap/>
            <w:vAlign w:val="center"/>
          </w:tcPr>
          <w:p w14:paraId="0F7A2DC6">
            <w:pPr>
              <w:adjustRightInd w:val="0"/>
              <w:snapToGrid w:val="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国有土地使用权出让收入</w:t>
            </w:r>
          </w:p>
        </w:tc>
        <w:tc>
          <w:tcPr>
            <w:tcW w:w="1228" w:type="dxa"/>
            <w:noWrap/>
            <w:vAlign w:val="center"/>
          </w:tcPr>
          <w:p w14:paraId="4DF40A77">
            <w:pPr>
              <w:adjustRightInd w:val="0"/>
              <w:snapToGrid w:val="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12481</w:t>
            </w:r>
          </w:p>
        </w:tc>
        <w:tc>
          <w:tcPr>
            <w:tcW w:w="2744" w:type="dxa"/>
            <w:noWrap/>
            <w:vAlign w:val="center"/>
          </w:tcPr>
          <w:p w14:paraId="27EFBCE2">
            <w:pPr>
              <w:adjustRightInd w:val="0"/>
              <w:snapToGrid w:val="0"/>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sz w:val="28"/>
                <w:szCs w:val="28"/>
              </w:rPr>
              <w:t>城乡社区支出</w:t>
            </w:r>
          </w:p>
        </w:tc>
        <w:tc>
          <w:tcPr>
            <w:tcW w:w="1130" w:type="dxa"/>
            <w:noWrap/>
            <w:vAlign w:val="center"/>
          </w:tcPr>
          <w:p w14:paraId="6D513782">
            <w:pPr>
              <w:adjustRightInd w:val="0"/>
              <w:snapToGrid w:val="0"/>
              <w:rPr>
                <w:rFonts w:hint="default"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sz w:val="28"/>
                <w:szCs w:val="28"/>
                <w:lang w:val="en-US" w:eastAsia="zh-CN"/>
              </w:rPr>
              <w:t>25588</w:t>
            </w:r>
          </w:p>
        </w:tc>
      </w:tr>
      <w:tr w14:paraId="59BED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80" w:hRule="atLeast"/>
          <w:jc w:val="center"/>
        </w:trPr>
        <w:tc>
          <w:tcPr>
            <w:tcW w:w="3629" w:type="dxa"/>
            <w:noWrap/>
            <w:vAlign w:val="center"/>
          </w:tcPr>
          <w:p w14:paraId="0F91FCEF">
            <w:pPr>
              <w:adjustRightInd w:val="0"/>
              <w:snapToGrid w:val="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国有土地收益基金收入</w:t>
            </w:r>
          </w:p>
        </w:tc>
        <w:tc>
          <w:tcPr>
            <w:tcW w:w="1228" w:type="dxa"/>
            <w:noWrap/>
            <w:vAlign w:val="center"/>
          </w:tcPr>
          <w:p w14:paraId="75CD18E8">
            <w:pPr>
              <w:adjustRightInd w:val="0"/>
              <w:snapToGrid w:val="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353</w:t>
            </w:r>
          </w:p>
        </w:tc>
        <w:tc>
          <w:tcPr>
            <w:tcW w:w="2744" w:type="dxa"/>
            <w:noWrap/>
            <w:vAlign w:val="center"/>
          </w:tcPr>
          <w:p w14:paraId="4349895B">
            <w:pPr>
              <w:adjustRightInd w:val="0"/>
              <w:snapToGrid w:val="0"/>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sz w:val="28"/>
                <w:szCs w:val="28"/>
                <w:lang w:val="en-US" w:eastAsia="zh-CN"/>
              </w:rPr>
              <w:t>农林水</w:t>
            </w:r>
          </w:p>
        </w:tc>
        <w:tc>
          <w:tcPr>
            <w:tcW w:w="1130" w:type="dxa"/>
            <w:noWrap/>
            <w:vAlign w:val="center"/>
          </w:tcPr>
          <w:p w14:paraId="61EFF2C3">
            <w:pPr>
              <w:adjustRightInd w:val="0"/>
              <w:snapToGrid w:val="0"/>
              <w:rPr>
                <w:rFonts w:hint="default"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1266</w:t>
            </w:r>
          </w:p>
        </w:tc>
      </w:tr>
      <w:tr w14:paraId="72A1A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80" w:hRule="atLeast"/>
          <w:jc w:val="center"/>
        </w:trPr>
        <w:tc>
          <w:tcPr>
            <w:tcW w:w="3629" w:type="dxa"/>
            <w:noWrap/>
            <w:vAlign w:val="center"/>
          </w:tcPr>
          <w:p w14:paraId="5E5DF7BA">
            <w:pPr>
              <w:adjustRightInd w:val="0"/>
              <w:snapToGrid w:val="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农业土地开发资金收入</w:t>
            </w:r>
          </w:p>
        </w:tc>
        <w:tc>
          <w:tcPr>
            <w:tcW w:w="1228" w:type="dxa"/>
            <w:noWrap/>
            <w:vAlign w:val="center"/>
          </w:tcPr>
          <w:p w14:paraId="5B5FEDA3">
            <w:pPr>
              <w:adjustRightInd w:val="0"/>
              <w:snapToGrid w:val="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90</w:t>
            </w:r>
          </w:p>
        </w:tc>
        <w:tc>
          <w:tcPr>
            <w:tcW w:w="2744" w:type="dxa"/>
            <w:noWrap/>
            <w:vAlign w:val="center"/>
          </w:tcPr>
          <w:p w14:paraId="31D2FBAA">
            <w:pPr>
              <w:adjustRightInd w:val="0"/>
              <w:snapToGrid w:val="0"/>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sz w:val="28"/>
                <w:szCs w:val="28"/>
              </w:rPr>
              <w:t>资源勘探工业信息等支出</w:t>
            </w:r>
          </w:p>
        </w:tc>
        <w:tc>
          <w:tcPr>
            <w:tcW w:w="1130" w:type="dxa"/>
            <w:noWrap/>
            <w:vAlign w:val="center"/>
          </w:tcPr>
          <w:p w14:paraId="1478BA74">
            <w:pPr>
              <w:adjustRightInd w:val="0"/>
              <w:snapToGrid w:val="0"/>
              <w:rPr>
                <w:rFonts w:hint="default"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kern w:val="2"/>
                <w:sz w:val="28"/>
                <w:szCs w:val="28"/>
                <w:lang w:val="en-US" w:eastAsia="zh-CN" w:bidi="ar-SA"/>
              </w:rPr>
              <w:t>1839</w:t>
            </w:r>
          </w:p>
        </w:tc>
      </w:tr>
      <w:tr w14:paraId="2EC20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80" w:hRule="atLeast"/>
          <w:jc w:val="center"/>
        </w:trPr>
        <w:tc>
          <w:tcPr>
            <w:tcW w:w="3629" w:type="dxa"/>
            <w:shd w:val="clear" w:color="auto" w:fill="auto"/>
            <w:noWrap/>
            <w:vAlign w:val="center"/>
          </w:tcPr>
          <w:p w14:paraId="2E849271">
            <w:pPr>
              <w:adjustRightInd w:val="0"/>
              <w:snapToGrid w:val="0"/>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sz w:val="28"/>
                <w:szCs w:val="28"/>
              </w:rPr>
              <w:t>城市基础设施配套费收入</w:t>
            </w:r>
          </w:p>
        </w:tc>
        <w:tc>
          <w:tcPr>
            <w:tcW w:w="1228" w:type="dxa"/>
            <w:shd w:val="clear" w:color="auto" w:fill="auto"/>
            <w:noWrap/>
            <w:vAlign w:val="center"/>
          </w:tcPr>
          <w:p w14:paraId="6632CA5A">
            <w:pPr>
              <w:adjustRightInd w:val="0"/>
              <w:snapToGrid w:val="0"/>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sz w:val="28"/>
                <w:szCs w:val="28"/>
                <w:lang w:val="en-US" w:eastAsia="zh-CN"/>
              </w:rPr>
              <w:t>710</w:t>
            </w:r>
          </w:p>
        </w:tc>
        <w:tc>
          <w:tcPr>
            <w:tcW w:w="2744" w:type="dxa"/>
            <w:noWrap/>
            <w:vAlign w:val="center"/>
          </w:tcPr>
          <w:p w14:paraId="016CB2EC">
            <w:pPr>
              <w:adjustRightInd w:val="0"/>
              <w:snapToGrid w:val="0"/>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sz w:val="28"/>
                <w:szCs w:val="28"/>
                <w:lang w:val="en-US" w:eastAsia="zh-CN"/>
              </w:rPr>
              <w:t>其他支出</w:t>
            </w:r>
          </w:p>
        </w:tc>
        <w:tc>
          <w:tcPr>
            <w:tcW w:w="1130" w:type="dxa"/>
            <w:noWrap/>
            <w:vAlign w:val="center"/>
          </w:tcPr>
          <w:p w14:paraId="63ED2A00">
            <w:pPr>
              <w:adjustRightInd w:val="0"/>
              <w:snapToGrid w:val="0"/>
              <w:rPr>
                <w:rFonts w:hint="default"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sz w:val="28"/>
                <w:szCs w:val="28"/>
                <w:lang w:val="en-US" w:eastAsia="zh-CN"/>
              </w:rPr>
              <w:t>56349</w:t>
            </w:r>
          </w:p>
        </w:tc>
      </w:tr>
      <w:tr w14:paraId="0E9AD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80" w:hRule="atLeast"/>
          <w:jc w:val="center"/>
        </w:trPr>
        <w:tc>
          <w:tcPr>
            <w:tcW w:w="3629" w:type="dxa"/>
            <w:noWrap/>
            <w:vAlign w:val="center"/>
          </w:tcPr>
          <w:p w14:paraId="1A80B364">
            <w:pPr>
              <w:adjustRightInd w:val="0"/>
              <w:snapToGrid w:val="0"/>
              <w:rPr>
                <w:rFonts w:ascii="仿宋_GB2312" w:hAnsi="仿宋_GB2312" w:eastAsia="仿宋_GB2312" w:cs="仿宋_GB2312"/>
                <w:bCs/>
                <w:sz w:val="28"/>
                <w:szCs w:val="28"/>
              </w:rPr>
            </w:pPr>
          </w:p>
        </w:tc>
        <w:tc>
          <w:tcPr>
            <w:tcW w:w="1228" w:type="dxa"/>
            <w:noWrap/>
            <w:vAlign w:val="center"/>
          </w:tcPr>
          <w:p w14:paraId="506B0286">
            <w:pPr>
              <w:adjustRightInd w:val="0"/>
              <w:snapToGrid w:val="0"/>
              <w:rPr>
                <w:rFonts w:hint="default" w:ascii="仿宋_GB2312" w:hAnsi="仿宋_GB2312" w:eastAsia="仿宋_GB2312" w:cs="仿宋_GB2312"/>
                <w:bCs/>
                <w:sz w:val="28"/>
                <w:szCs w:val="28"/>
                <w:lang w:val="en-US" w:eastAsia="zh-CN"/>
              </w:rPr>
            </w:pPr>
          </w:p>
        </w:tc>
        <w:tc>
          <w:tcPr>
            <w:tcW w:w="2744" w:type="dxa"/>
            <w:noWrap/>
            <w:vAlign w:val="center"/>
          </w:tcPr>
          <w:p w14:paraId="26D8B9F5">
            <w:pPr>
              <w:adjustRightInd w:val="0"/>
              <w:snapToGrid w:val="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债务付息支出</w:t>
            </w:r>
          </w:p>
        </w:tc>
        <w:tc>
          <w:tcPr>
            <w:tcW w:w="1130" w:type="dxa"/>
            <w:noWrap/>
            <w:vAlign w:val="center"/>
          </w:tcPr>
          <w:p w14:paraId="3AEF75A0">
            <w:pPr>
              <w:adjustRightInd w:val="0"/>
              <w:snapToGrid w:val="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rPr>
              <w:t>1</w:t>
            </w:r>
            <w:r>
              <w:rPr>
                <w:rFonts w:hint="eastAsia" w:ascii="仿宋_GB2312" w:hAnsi="仿宋_GB2312" w:eastAsia="仿宋_GB2312" w:cs="仿宋_GB2312"/>
                <w:bCs/>
                <w:sz w:val="28"/>
                <w:szCs w:val="28"/>
                <w:lang w:val="en-US" w:eastAsia="zh-CN"/>
              </w:rPr>
              <w:t>7719</w:t>
            </w:r>
          </w:p>
        </w:tc>
      </w:tr>
      <w:tr w14:paraId="37013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80" w:hRule="atLeast"/>
          <w:jc w:val="center"/>
        </w:trPr>
        <w:tc>
          <w:tcPr>
            <w:tcW w:w="3629" w:type="dxa"/>
            <w:noWrap/>
            <w:vAlign w:val="center"/>
          </w:tcPr>
          <w:p w14:paraId="5A8BF39A">
            <w:pPr>
              <w:adjustRightInd w:val="0"/>
              <w:snapToGrid w:val="0"/>
              <w:rPr>
                <w:rFonts w:ascii="仿宋_GB2312" w:hAnsi="仿宋_GB2312" w:eastAsia="仿宋_GB2312" w:cs="仿宋_GB2312"/>
                <w:bCs/>
                <w:sz w:val="28"/>
                <w:szCs w:val="28"/>
              </w:rPr>
            </w:pPr>
          </w:p>
        </w:tc>
        <w:tc>
          <w:tcPr>
            <w:tcW w:w="1228" w:type="dxa"/>
            <w:noWrap/>
            <w:vAlign w:val="center"/>
          </w:tcPr>
          <w:p w14:paraId="2888876B">
            <w:pPr>
              <w:adjustRightInd w:val="0"/>
              <w:snapToGrid w:val="0"/>
              <w:rPr>
                <w:rFonts w:ascii="仿宋_GB2312" w:hAnsi="仿宋_GB2312" w:eastAsia="仿宋_GB2312" w:cs="仿宋_GB2312"/>
                <w:bCs/>
                <w:sz w:val="28"/>
                <w:szCs w:val="28"/>
              </w:rPr>
            </w:pPr>
          </w:p>
        </w:tc>
        <w:tc>
          <w:tcPr>
            <w:tcW w:w="2744" w:type="dxa"/>
            <w:noWrap/>
            <w:vAlign w:val="center"/>
          </w:tcPr>
          <w:p w14:paraId="3EC54BF5">
            <w:pPr>
              <w:adjustRightInd w:val="0"/>
              <w:snapToGrid w:val="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债务发行费用支出</w:t>
            </w:r>
          </w:p>
        </w:tc>
        <w:tc>
          <w:tcPr>
            <w:tcW w:w="1130" w:type="dxa"/>
            <w:noWrap/>
            <w:vAlign w:val="center"/>
          </w:tcPr>
          <w:p w14:paraId="36F79CD4">
            <w:pPr>
              <w:adjustRightInd w:val="0"/>
              <w:snapToGrid w:val="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w:t>
            </w:r>
          </w:p>
        </w:tc>
      </w:tr>
      <w:tr w14:paraId="3E7BB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80" w:hRule="atLeast"/>
          <w:jc w:val="center"/>
        </w:trPr>
        <w:tc>
          <w:tcPr>
            <w:tcW w:w="3629" w:type="dxa"/>
            <w:noWrap/>
            <w:vAlign w:val="center"/>
          </w:tcPr>
          <w:p w14:paraId="61DC86FF">
            <w:pPr>
              <w:adjustRightInd w:val="0"/>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本年收入合计</w:t>
            </w:r>
          </w:p>
        </w:tc>
        <w:tc>
          <w:tcPr>
            <w:tcW w:w="1228" w:type="dxa"/>
            <w:noWrap/>
            <w:vAlign w:val="center"/>
          </w:tcPr>
          <w:p w14:paraId="4A783E9D">
            <w:pPr>
              <w:adjustRightInd w:val="0"/>
              <w:snapToGrid w:val="0"/>
              <w:rPr>
                <w:rFonts w:hint="default" w:ascii="仿宋_GB2312" w:hAnsi="仿宋_GB2312" w:eastAsia="仿宋_GB2312" w:cs="仿宋_GB2312"/>
                <w:b/>
                <w:sz w:val="28"/>
                <w:szCs w:val="28"/>
                <w:lang w:val="en-US" w:eastAsia="zh-CN"/>
              </w:rPr>
            </w:pPr>
            <w:r>
              <w:rPr>
                <w:rFonts w:hint="eastAsia" w:ascii="仿宋_GB2312" w:hAnsi="仿宋_GB2312" w:eastAsia="仿宋_GB2312" w:cs="仿宋_GB2312"/>
                <w:b/>
                <w:sz w:val="28"/>
                <w:szCs w:val="28"/>
                <w:lang w:val="en-US" w:eastAsia="zh-CN"/>
              </w:rPr>
              <w:t>14080</w:t>
            </w:r>
          </w:p>
        </w:tc>
        <w:tc>
          <w:tcPr>
            <w:tcW w:w="2744" w:type="dxa"/>
            <w:noWrap/>
            <w:vAlign w:val="center"/>
          </w:tcPr>
          <w:p w14:paraId="49856A38">
            <w:pPr>
              <w:adjustRightInd w:val="0"/>
              <w:snapToGrid w:val="0"/>
              <w:jc w:val="center"/>
              <w:rPr>
                <w:rFonts w:ascii="仿宋_GB2312" w:hAnsi="仿宋_GB2312" w:eastAsia="仿宋_GB2312" w:cs="仿宋_GB2312"/>
                <w:b/>
                <w:sz w:val="28"/>
                <w:szCs w:val="28"/>
              </w:rPr>
            </w:pPr>
            <w:r>
              <w:rPr>
                <w:rFonts w:hint="eastAsia" w:ascii="仿宋_GB2312" w:hAnsi="仿宋_GB2312" w:eastAsia="仿宋_GB2312" w:cs="仿宋_GB2312"/>
                <w:b/>
                <w:sz w:val="28"/>
                <w:szCs w:val="28"/>
              </w:rPr>
              <w:t>本年支出合计</w:t>
            </w:r>
          </w:p>
        </w:tc>
        <w:tc>
          <w:tcPr>
            <w:tcW w:w="1130" w:type="dxa"/>
            <w:noWrap/>
            <w:vAlign w:val="center"/>
          </w:tcPr>
          <w:p w14:paraId="416056CF">
            <w:pPr>
              <w:adjustRightInd w:val="0"/>
              <w:snapToGrid w:val="0"/>
              <w:rPr>
                <w:rFonts w:hint="default" w:ascii="仿宋_GB2312" w:hAnsi="仿宋_GB2312" w:eastAsia="仿宋_GB2312" w:cs="仿宋_GB2312"/>
                <w:b/>
                <w:sz w:val="28"/>
                <w:szCs w:val="28"/>
                <w:lang w:val="en-US" w:eastAsia="zh-CN"/>
              </w:rPr>
            </w:pPr>
            <w:r>
              <w:rPr>
                <w:rFonts w:hint="eastAsia" w:ascii="仿宋_GB2312" w:hAnsi="仿宋_GB2312" w:eastAsia="仿宋_GB2312" w:cs="仿宋_GB2312"/>
                <w:b/>
                <w:sz w:val="28"/>
                <w:szCs w:val="28"/>
              </w:rPr>
              <w:t>1</w:t>
            </w:r>
            <w:r>
              <w:rPr>
                <w:rFonts w:hint="eastAsia" w:ascii="仿宋_GB2312" w:hAnsi="仿宋_GB2312" w:eastAsia="仿宋_GB2312" w:cs="仿宋_GB2312"/>
                <w:b/>
                <w:sz w:val="28"/>
                <w:szCs w:val="28"/>
                <w:lang w:val="en-US" w:eastAsia="zh-CN"/>
              </w:rPr>
              <w:t>02781</w:t>
            </w:r>
          </w:p>
        </w:tc>
      </w:tr>
      <w:tr w14:paraId="422CC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80" w:hRule="atLeast"/>
          <w:jc w:val="center"/>
        </w:trPr>
        <w:tc>
          <w:tcPr>
            <w:tcW w:w="3629" w:type="dxa"/>
            <w:noWrap/>
            <w:vAlign w:val="center"/>
          </w:tcPr>
          <w:p w14:paraId="5A5C5422">
            <w:pPr>
              <w:adjustRightInd w:val="0"/>
              <w:snapToGrid w:val="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上级补助收入</w:t>
            </w:r>
          </w:p>
        </w:tc>
        <w:tc>
          <w:tcPr>
            <w:tcW w:w="1228" w:type="dxa"/>
            <w:noWrap/>
            <w:vAlign w:val="center"/>
          </w:tcPr>
          <w:p w14:paraId="68337846">
            <w:pPr>
              <w:adjustRightInd w:val="0"/>
              <w:snapToGrid w:val="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13716</w:t>
            </w:r>
          </w:p>
        </w:tc>
        <w:tc>
          <w:tcPr>
            <w:tcW w:w="2744" w:type="dxa"/>
            <w:noWrap/>
            <w:vAlign w:val="center"/>
          </w:tcPr>
          <w:p w14:paraId="708C87B7">
            <w:pPr>
              <w:adjustRightInd w:val="0"/>
              <w:snapToGrid w:val="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上解上级支出</w:t>
            </w:r>
          </w:p>
        </w:tc>
        <w:tc>
          <w:tcPr>
            <w:tcW w:w="1130" w:type="dxa"/>
            <w:noWrap/>
            <w:vAlign w:val="center"/>
          </w:tcPr>
          <w:p w14:paraId="2FEC74DC">
            <w:pPr>
              <w:adjustRightInd w:val="0"/>
              <w:snapToGrid w:val="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81</w:t>
            </w:r>
          </w:p>
        </w:tc>
      </w:tr>
      <w:tr w14:paraId="6D769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80" w:hRule="atLeast"/>
          <w:jc w:val="center"/>
        </w:trPr>
        <w:tc>
          <w:tcPr>
            <w:tcW w:w="3629" w:type="dxa"/>
            <w:noWrap/>
            <w:vAlign w:val="center"/>
          </w:tcPr>
          <w:p w14:paraId="0075A224">
            <w:pPr>
              <w:adjustRightInd w:val="0"/>
              <w:snapToGrid w:val="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地方政府专项债务收入</w:t>
            </w:r>
          </w:p>
        </w:tc>
        <w:tc>
          <w:tcPr>
            <w:tcW w:w="1228" w:type="dxa"/>
            <w:noWrap/>
            <w:vAlign w:val="center"/>
          </w:tcPr>
          <w:p w14:paraId="5A5B25DB">
            <w:pPr>
              <w:adjustRightInd w:val="0"/>
              <w:snapToGrid w:val="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97500</w:t>
            </w:r>
          </w:p>
        </w:tc>
        <w:tc>
          <w:tcPr>
            <w:tcW w:w="2744" w:type="dxa"/>
            <w:noWrap/>
            <w:vAlign w:val="center"/>
          </w:tcPr>
          <w:p w14:paraId="112DFC31">
            <w:pPr>
              <w:adjustRightInd w:val="0"/>
              <w:snapToGrid w:val="0"/>
              <w:rPr>
                <w:rFonts w:hint="default"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sz w:val="28"/>
                <w:szCs w:val="28"/>
              </w:rPr>
              <w:t>债务还本支出</w:t>
            </w:r>
          </w:p>
        </w:tc>
        <w:tc>
          <w:tcPr>
            <w:tcW w:w="1130" w:type="dxa"/>
            <w:noWrap/>
            <w:vAlign w:val="center"/>
          </w:tcPr>
          <w:p w14:paraId="1FDDC339">
            <w:pPr>
              <w:adjustRightInd w:val="0"/>
              <w:snapToGrid w:val="0"/>
              <w:rPr>
                <w:rFonts w:hint="default"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sz w:val="28"/>
                <w:szCs w:val="28"/>
                <w:lang w:val="en-US" w:eastAsia="zh-CN"/>
              </w:rPr>
              <w:t>23569</w:t>
            </w:r>
          </w:p>
        </w:tc>
      </w:tr>
      <w:tr w14:paraId="7B859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80" w:hRule="atLeast"/>
          <w:jc w:val="center"/>
        </w:trPr>
        <w:tc>
          <w:tcPr>
            <w:tcW w:w="3629" w:type="dxa"/>
            <w:noWrap/>
            <w:vAlign w:val="center"/>
          </w:tcPr>
          <w:p w14:paraId="3F9C2B98">
            <w:pPr>
              <w:adjustRightInd w:val="0"/>
              <w:snapToGrid w:val="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上年结余</w:t>
            </w:r>
          </w:p>
        </w:tc>
        <w:tc>
          <w:tcPr>
            <w:tcW w:w="1228" w:type="dxa"/>
            <w:noWrap/>
            <w:vAlign w:val="center"/>
          </w:tcPr>
          <w:p w14:paraId="625A0C26">
            <w:pPr>
              <w:adjustRightInd w:val="0"/>
              <w:snapToGrid w:val="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6600</w:t>
            </w:r>
          </w:p>
        </w:tc>
        <w:tc>
          <w:tcPr>
            <w:tcW w:w="2744" w:type="dxa"/>
            <w:noWrap/>
            <w:vAlign w:val="center"/>
          </w:tcPr>
          <w:p w14:paraId="5545B354">
            <w:pPr>
              <w:adjustRightInd w:val="0"/>
              <w:snapToGrid w:val="0"/>
              <w:spacing w:line="300" w:lineRule="exact"/>
              <w:jc w:val="left"/>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sz w:val="28"/>
                <w:szCs w:val="28"/>
              </w:rPr>
              <w:t>年终结余</w:t>
            </w:r>
          </w:p>
        </w:tc>
        <w:tc>
          <w:tcPr>
            <w:tcW w:w="1130" w:type="dxa"/>
            <w:noWrap/>
            <w:vAlign w:val="center"/>
          </w:tcPr>
          <w:p w14:paraId="34DA7935">
            <w:pPr>
              <w:adjustRightInd w:val="0"/>
              <w:snapToGrid w:val="0"/>
              <w:rPr>
                <w:rFonts w:hint="default"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sz w:val="28"/>
                <w:szCs w:val="28"/>
                <w:lang w:val="en-US" w:eastAsia="zh-CN"/>
              </w:rPr>
              <w:t>14421</w:t>
            </w:r>
          </w:p>
        </w:tc>
      </w:tr>
      <w:tr w14:paraId="71942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80" w:hRule="atLeast"/>
          <w:jc w:val="center"/>
        </w:trPr>
        <w:tc>
          <w:tcPr>
            <w:tcW w:w="3629" w:type="dxa"/>
            <w:noWrap/>
            <w:vAlign w:val="center"/>
          </w:tcPr>
          <w:p w14:paraId="62248AFF">
            <w:pPr>
              <w:adjustRightInd w:val="0"/>
              <w:snapToGrid w:val="0"/>
              <w:spacing w:line="300" w:lineRule="exact"/>
              <w:jc w:val="lef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调入资金</w:t>
            </w:r>
          </w:p>
        </w:tc>
        <w:tc>
          <w:tcPr>
            <w:tcW w:w="1228" w:type="dxa"/>
            <w:noWrap/>
            <w:vAlign w:val="center"/>
          </w:tcPr>
          <w:p w14:paraId="23B74184">
            <w:pPr>
              <w:adjustRightInd w:val="0"/>
              <w:snapToGrid w:val="0"/>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8956</w:t>
            </w:r>
          </w:p>
        </w:tc>
        <w:tc>
          <w:tcPr>
            <w:tcW w:w="2744" w:type="dxa"/>
            <w:noWrap/>
            <w:vAlign w:val="center"/>
          </w:tcPr>
          <w:p w14:paraId="048D19BC">
            <w:pPr>
              <w:adjustRightInd w:val="0"/>
              <w:snapToGrid w:val="0"/>
              <w:spacing w:line="300" w:lineRule="exact"/>
              <w:ind w:firstLine="140" w:firstLineChars="50"/>
              <w:jc w:val="left"/>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sz w:val="28"/>
                <w:szCs w:val="28"/>
              </w:rPr>
              <w:t>其中：专项债资金结转下年支出</w:t>
            </w:r>
          </w:p>
        </w:tc>
        <w:tc>
          <w:tcPr>
            <w:tcW w:w="1130" w:type="dxa"/>
            <w:noWrap/>
            <w:vAlign w:val="center"/>
          </w:tcPr>
          <w:p w14:paraId="7987BC21">
            <w:pPr>
              <w:adjustRightInd w:val="0"/>
              <w:snapToGrid w:val="0"/>
              <w:rPr>
                <w:rFonts w:hint="default"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sz w:val="28"/>
                <w:szCs w:val="28"/>
                <w:lang w:val="en-US" w:eastAsia="zh-CN"/>
              </w:rPr>
              <w:t>1013</w:t>
            </w:r>
          </w:p>
        </w:tc>
      </w:tr>
      <w:tr w14:paraId="7F024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680" w:hRule="atLeast"/>
          <w:jc w:val="center"/>
        </w:trPr>
        <w:tc>
          <w:tcPr>
            <w:tcW w:w="3629" w:type="dxa"/>
            <w:noWrap/>
            <w:vAlign w:val="center"/>
          </w:tcPr>
          <w:p w14:paraId="409ECAE2">
            <w:pPr>
              <w:adjustRightInd w:val="0"/>
              <w:snapToGrid w:val="0"/>
              <w:spacing w:line="300" w:lineRule="exact"/>
              <w:ind w:firstLine="280" w:firstLineChars="100"/>
              <w:jc w:val="left"/>
              <w:rPr>
                <w:rFonts w:ascii="仿宋_GB2312" w:hAnsi="仿宋_GB2312" w:eastAsia="仿宋_GB2312" w:cs="仿宋_GB2312"/>
                <w:bCs/>
                <w:sz w:val="28"/>
                <w:szCs w:val="28"/>
              </w:rPr>
            </w:pPr>
          </w:p>
        </w:tc>
        <w:tc>
          <w:tcPr>
            <w:tcW w:w="1228" w:type="dxa"/>
            <w:noWrap/>
            <w:vAlign w:val="center"/>
          </w:tcPr>
          <w:p w14:paraId="292E7CD1">
            <w:pPr>
              <w:adjustRightInd w:val="0"/>
              <w:snapToGrid w:val="0"/>
              <w:rPr>
                <w:rFonts w:hint="default" w:ascii="仿宋_GB2312" w:hAnsi="仿宋_GB2312" w:eastAsia="仿宋_GB2312" w:cs="仿宋_GB2312"/>
                <w:bCs/>
                <w:sz w:val="28"/>
                <w:szCs w:val="28"/>
                <w:lang w:val="en-US" w:eastAsia="zh-CN"/>
              </w:rPr>
            </w:pPr>
          </w:p>
        </w:tc>
        <w:tc>
          <w:tcPr>
            <w:tcW w:w="2744" w:type="dxa"/>
            <w:noWrap/>
            <w:vAlign w:val="center"/>
          </w:tcPr>
          <w:p w14:paraId="477FA1F5">
            <w:pPr>
              <w:adjustRightInd w:val="0"/>
              <w:snapToGrid w:val="0"/>
              <w:spacing w:line="300" w:lineRule="exact"/>
              <w:ind w:firstLine="140" w:firstLineChars="50"/>
              <w:jc w:val="left"/>
              <w:rPr>
                <w:rFonts w:hint="eastAsia"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sz w:val="28"/>
                <w:szCs w:val="28"/>
                <w:lang w:eastAsia="zh-CN"/>
              </w:rPr>
              <w:t>超长期特别国债结余</w:t>
            </w:r>
          </w:p>
        </w:tc>
        <w:tc>
          <w:tcPr>
            <w:tcW w:w="1130" w:type="dxa"/>
            <w:noWrap/>
            <w:vAlign w:val="center"/>
          </w:tcPr>
          <w:p w14:paraId="761B0FDD">
            <w:pPr>
              <w:adjustRightInd w:val="0"/>
              <w:snapToGrid w:val="0"/>
              <w:rPr>
                <w:rFonts w:hint="default" w:ascii="仿宋_GB2312" w:hAnsi="仿宋_GB2312" w:eastAsia="仿宋_GB2312" w:cs="仿宋_GB2312"/>
                <w:bCs/>
                <w:kern w:val="2"/>
                <w:sz w:val="28"/>
                <w:szCs w:val="28"/>
                <w:lang w:val="en-US" w:eastAsia="zh-CN" w:bidi="ar-SA"/>
              </w:rPr>
            </w:pPr>
            <w:r>
              <w:rPr>
                <w:rFonts w:hint="eastAsia" w:ascii="仿宋_GB2312" w:hAnsi="仿宋_GB2312" w:eastAsia="仿宋_GB2312" w:cs="仿宋_GB2312"/>
                <w:bCs/>
                <w:sz w:val="28"/>
                <w:szCs w:val="28"/>
                <w:lang w:val="en-US" w:eastAsia="zh-CN"/>
              </w:rPr>
              <w:t>10824</w:t>
            </w:r>
          </w:p>
        </w:tc>
      </w:tr>
      <w:tr w14:paraId="0F3CB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629" w:type="dxa"/>
            <w:noWrap/>
            <w:vAlign w:val="center"/>
          </w:tcPr>
          <w:p w14:paraId="30AA17D7">
            <w:pPr>
              <w:adjustRightInd w:val="0"/>
              <w:snapToGrid w:val="0"/>
              <w:jc w:val="center"/>
              <w:rPr>
                <w:rFonts w:hint="eastAsia" w:ascii="仿宋_GB2312" w:hAnsi="仿宋_GB2312" w:eastAsia="仿宋_GB2312" w:cs="仿宋_GB2312"/>
                <w:b/>
                <w:kern w:val="2"/>
                <w:sz w:val="28"/>
                <w:szCs w:val="28"/>
                <w:lang w:val="en-US" w:eastAsia="zh-CN" w:bidi="ar-SA"/>
              </w:rPr>
            </w:pPr>
            <w:r>
              <w:rPr>
                <w:rFonts w:hint="eastAsia" w:ascii="仿宋_GB2312" w:hAnsi="仿宋_GB2312" w:eastAsia="仿宋_GB2312" w:cs="仿宋_GB2312"/>
                <w:b/>
                <w:sz w:val="28"/>
                <w:szCs w:val="28"/>
              </w:rPr>
              <w:t>收入总计</w:t>
            </w:r>
          </w:p>
        </w:tc>
        <w:tc>
          <w:tcPr>
            <w:tcW w:w="1228" w:type="dxa"/>
            <w:noWrap/>
            <w:vAlign w:val="center"/>
          </w:tcPr>
          <w:p w14:paraId="711685A5">
            <w:pPr>
              <w:widowControl/>
              <w:jc w:val="center"/>
              <w:rPr>
                <w:rFonts w:hint="default" w:ascii="仿宋_GB2312" w:hAnsi="仿宋_GB2312" w:eastAsia="仿宋_GB2312" w:cs="仿宋_GB2312"/>
                <w:b/>
                <w:kern w:val="2"/>
                <w:sz w:val="28"/>
                <w:szCs w:val="28"/>
                <w:lang w:val="en-US" w:eastAsia="zh-CN" w:bidi="ar-SA"/>
              </w:rPr>
            </w:pPr>
            <w:r>
              <w:rPr>
                <w:rFonts w:hint="eastAsia" w:ascii="仿宋_GB2312" w:hAnsi="仿宋_GB2312" w:eastAsia="仿宋_GB2312" w:cs="仿宋_GB2312"/>
                <w:b/>
                <w:sz w:val="28"/>
                <w:szCs w:val="28"/>
                <w:lang w:val="en-US" w:eastAsia="zh-CN"/>
              </w:rPr>
              <w:t>140852</w:t>
            </w:r>
          </w:p>
        </w:tc>
        <w:tc>
          <w:tcPr>
            <w:tcW w:w="2744" w:type="dxa"/>
            <w:noWrap/>
            <w:vAlign w:val="center"/>
          </w:tcPr>
          <w:p w14:paraId="590BCACC">
            <w:pPr>
              <w:pStyle w:val="8"/>
              <w:jc w:val="center"/>
              <w:rPr>
                <w:rFonts w:hint="eastAsia" w:ascii="仿宋_GB2312" w:hAnsi="仿宋_GB2312" w:eastAsia="仿宋_GB2312" w:cs="仿宋_GB2312"/>
                <w:b/>
                <w:kern w:val="2"/>
                <w:sz w:val="28"/>
                <w:szCs w:val="28"/>
                <w:lang w:val="en-US" w:eastAsia="zh-CN" w:bidi="ar-SA"/>
              </w:rPr>
            </w:pPr>
            <w:r>
              <w:rPr>
                <w:rFonts w:hint="eastAsia" w:ascii="仿宋_GB2312" w:hAnsi="仿宋_GB2312" w:eastAsia="仿宋_GB2312" w:cs="仿宋_GB2312"/>
                <w:b/>
                <w:sz w:val="28"/>
                <w:szCs w:val="28"/>
              </w:rPr>
              <w:t>支出总计</w:t>
            </w:r>
          </w:p>
        </w:tc>
        <w:tc>
          <w:tcPr>
            <w:tcW w:w="1138" w:type="dxa"/>
            <w:gridSpan w:val="2"/>
            <w:noWrap/>
            <w:vAlign w:val="center"/>
          </w:tcPr>
          <w:p w14:paraId="7DC1651F">
            <w:pPr>
              <w:pStyle w:val="8"/>
              <w:jc w:val="center"/>
              <w:rPr>
                <w:rFonts w:hint="default" w:ascii="仿宋_GB2312" w:hAnsi="仿宋_GB2312" w:eastAsia="仿宋_GB2312" w:cs="仿宋_GB2312"/>
                <w:b/>
                <w:kern w:val="2"/>
                <w:sz w:val="28"/>
                <w:szCs w:val="28"/>
                <w:lang w:val="en-US" w:eastAsia="zh-CN" w:bidi="ar-SA"/>
              </w:rPr>
            </w:pPr>
            <w:r>
              <w:rPr>
                <w:rFonts w:hint="eastAsia" w:ascii="仿宋_GB2312" w:hAnsi="仿宋_GB2312" w:eastAsia="仿宋_GB2312" w:cs="仿宋_GB2312"/>
                <w:b/>
                <w:sz w:val="28"/>
                <w:szCs w:val="28"/>
                <w:lang w:val="en-US" w:eastAsia="zh-CN"/>
              </w:rPr>
              <w:t>140852</w:t>
            </w:r>
          </w:p>
        </w:tc>
      </w:tr>
    </w:tbl>
    <w:p w14:paraId="42C41149">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32"/>
          <w:szCs w:val="32"/>
          <w:highlight w:val="none"/>
        </w:rPr>
      </w:pPr>
    </w:p>
    <w:p w14:paraId="1EAB8A53">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32"/>
          <w:szCs w:val="32"/>
          <w:highlight w:val="none"/>
        </w:rPr>
      </w:pPr>
    </w:p>
    <w:p w14:paraId="6F92D7B6">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附表</w:t>
      </w:r>
      <w:r>
        <w:rPr>
          <w:rFonts w:hint="eastAsia" w:ascii="仿宋" w:hAnsi="仿宋" w:eastAsia="仿宋" w:cs="仿宋"/>
          <w:sz w:val="32"/>
          <w:szCs w:val="32"/>
          <w:highlight w:val="none"/>
          <w:lang w:val="en-US" w:eastAsia="zh-CN"/>
        </w:rPr>
        <w:t>三</w:t>
      </w:r>
    </w:p>
    <w:p w14:paraId="790C4BD3">
      <w:pPr>
        <w:pStyle w:val="8"/>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bCs/>
          <w:sz w:val="44"/>
          <w:szCs w:val="44"/>
          <w:highlight w:val="none"/>
        </w:rPr>
      </w:pPr>
      <w:r>
        <w:rPr>
          <w:rFonts w:hint="eastAsia" w:ascii="黑体" w:hAnsi="黑体" w:eastAsia="黑体" w:cs="黑体"/>
          <w:bCs/>
          <w:sz w:val="40"/>
          <w:szCs w:val="40"/>
          <w:highlight w:val="none"/>
        </w:rPr>
        <w:t>西峡县</w:t>
      </w:r>
      <w:r>
        <w:rPr>
          <w:rFonts w:hint="eastAsia" w:ascii="黑体" w:hAnsi="黑体" w:eastAsia="黑体" w:cs="黑体"/>
          <w:i w:val="0"/>
          <w:iCs w:val="0"/>
          <w:color w:val="000000"/>
          <w:kern w:val="0"/>
          <w:sz w:val="40"/>
          <w:szCs w:val="40"/>
          <w:u w:val="none"/>
          <w:lang w:val="en-US" w:eastAsia="zh-CN" w:bidi="ar"/>
        </w:rPr>
        <w:t>2025年社保基金收支决算总表</w:t>
      </w:r>
      <w:r>
        <w:rPr>
          <w:rFonts w:hint="eastAsia" w:ascii="黑体" w:hAnsi="黑体" w:eastAsia="黑体" w:cs="黑体"/>
          <w:bCs/>
          <w:sz w:val="40"/>
          <w:szCs w:val="40"/>
          <w:highlight w:val="none"/>
          <w:lang w:eastAsia="zh-CN"/>
        </w:rPr>
        <w:t>（草案）</w:t>
      </w:r>
    </w:p>
    <w:p w14:paraId="392F0B0D">
      <w:pPr>
        <w:pStyle w:val="8"/>
        <w:keepNext w:val="0"/>
        <w:keepLines w:val="0"/>
        <w:pageBreakBefore w:val="0"/>
        <w:widowControl w:val="0"/>
        <w:kinsoku/>
        <w:wordWrap/>
        <w:overflowPunct/>
        <w:topLinePunct w:val="0"/>
        <w:autoSpaceDE/>
        <w:autoSpaceDN/>
        <w:bidi w:val="0"/>
        <w:adjustRightInd w:val="0"/>
        <w:snapToGrid w:val="0"/>
        <w:spacing w:line="560" w:lineRule="exact"/>
        <w:ind w:firstLine="320" w:firstLineChars="100"/>
        <w:jc w:val="right"/>
        <w:textAlignment w:val="auto"/>
        <w:rPr>
          <w:rFonts w:ascii="仿宋" w:hAnsi="仿宋" w:eastAsia="仿宋" w:cs="仿宋"/>
          <w:kern w:val="0"/>
          <w:sz w:val="32"/>
          <w:szCs w:val="32"/>
        </w:rPr>
      </w:pPr>
      <w:r>
        <w:rPr>
          <w:rFonts w:hint="eastAsia" w:ascii="仿宋" w:hAnsi="仿宋" w:eastAsia="仿宋" w:cs="仿宋"/>
          <w:sz w:val="32"/>
          <w:szCs w:val="32"/>
        </w:rPr>
        <w:t>单位:万元</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36"/>
        <w:gridCol w:w="1493"/>
        <w:gridCol w:w="2831"/>
        <w:gridCol w:w="1599"/>
      </w:tblGrid>
      <w:tr w14:paraId="402A0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trPr>
        <w:tc>
          <w:tcPr>
            <w:tcW w:w="2936" w:type="dxa"/>
            <w:vAlign w:val="center"/>
          </w:tcPr>
          <w:p w14:paraId="0853F7A6">
            <w:pPr>
              <w:keepNext w:val="0"/>
              <w:keepLines w:val="0"/>
              <w:widowControl/>
              <w:suppressLineNumbers w:val="0"/>
              <w:jc w:val="center"/>
              <w:textAlignment w:val="center"/>
              <w:rPr>
                <w:rFonts w:ascii="仿宋_GB2312" w:hAnsi="宋体" w:eastAsia="仿宋_GB2312" w:cs="宋体"/>
                <w:snapToGrid w:val="0"/>
                <w:kern w:val="0"/>
                <w:sz w:val="36"/>
                <w:szCs w:val="36"/>
                <w:vertAlign w:val="baseline"/>
              </w:rPr>
            </w:pPr>
            <w:r>
              <w:rPr>
                <w:rFonts w:hint="eastAsia" w:ascii="黑体" w:hAnsi="黑体" w:eastAsia="黑体" w:cs="黑体"/>
                <w:i w:val="0"/>
                <w:iCs w:val="0"/>
                <w:color w:val="000000"/>
                <w:kern w:val="0"/>
                <w:sz w:val="32"/>
                <w:szCs w:val="32"/>
                <w:u w:val="none"/>
                <w:lang w:val="en-US" w:eastAsia="zh-CN" w:bidi="ar"/>
              </w:rPr>
              <w:t>预算科目</w:t>
            </w:r>
          </w:p>
        </w:tc>
        <w:tc>
          <w:tcPr>
            <w:tcW w:w="1493" w:type="dxa"/>
            <w:vAlign w:val="center"/>
          </w:tcPr>
          <w:p w14:paraId="62C46644">
            <w:pPr>
              <w:keepNext w:val="0"/>
              <w:keepLines w:val="0"/>
              <w:widowControl/>
              <w:suppressLineNumbers w:val="0"/>
              <w:jc w:val="center"/>
              <w:textAlignment w:val="center"/>
              <w:rPr>
                <w:rFonts w:ascii="仿宋_GB2312" w:hAnsi="宋体" w:eastAsia="仿宋_GB2312" w:cs="宋体"/>
                <w:snapToGrid w:val="0"/>
                <w:kern w:val="0"/>
                <w:sz w:val="36"/>
                <w:szCs w:val="36"/>
                <w:vertAlign w:val="baseline"/>
              </w:rPr>
            </w:pPr>
            <w:r>
              <w:rPr>
                <w:rFonts w:hint="eastAsia" w:ascii="黑体" w:hAnsi="黑体" w:eastAsia="黑体" w:cs="黑体"/>
                <w:i w:val="0"/>
                <w:iCs w:val="0"/>
                <w:color w:val="000000"/>
                <w:kern w:val="0"/>
                <w:sz w:val="32"/>
                <w:szCs w:val="32"/>
                <w:u w:val="none"/>
                <w:lang w:val="en-US" w:eastAsia="zh-CN" w:bidi="ar"/>
              </w:rPr>
              <w:t>决算数</w:t>
            </w:r>
          </w:p>
        </w:tc>
        <w:tc>
          <w:tcPr>
            <w:tcW w:w="2831" w:type="dxa"/>
            <w:vAlign w:val="center"/>
          </w:tcPr>
          <w:p w14:paraId="0281411A">
            <w:pPr>
              <w:keepNext w:val="0"/>
              <w:keepLines w:val="0"/>
              <w:widowControl/>
              <w:suppressLineNumbers w:val="0"/>
              <w:jc w:val="center"/>
              <w:textAlignment w:val="center"/>
              <w:rPr>
                <w:rFonts w:ascii="仿宋_GB2312" w:hAnsi="宋体" w:eastAsia="仿宋_GB2312" w:cs="宋体"/>
                <w:snapToGrid w:val="0"/>
                <w:kern w:val="0"/>
                <w:sz w:val="36"/>
                <w:szCs w:val="36"/>
                <w:vertAlign w:val="baseline"/>
              </w:rPr>
            </w:pPr>
            <w:r>
              <w:rPr>
                <w:rFonts w:hint="eastAsia" w:ascii="黑体" w:hAnsi="黑体" w:eastAsia="黑体" w:cs="黑体"/>
                <w:i w:val="0"/>
                <w:iCs w:val="0"/>
                <w:color w:val="000000"/>
                <w:kern w:val="0"/>
                <w:sz w:val="32"/>
                <w:szCs w:val="32"/>
                <w:u w:val="none"/>
                <w:lang w:val="en-US" w:eastAsia="zh-CN" w:bidi="ar"/>
              </w:rPr>
              <w:t>预算科目</w:t>
            </w:r>
          </w:p>
        </w:tc>
        <w:tc>
          <w:tcPr>
            <w:tcW w:w="1599" w:type="dxa"/>
            <w:vAlign w:val="center"/>
          </w:tcPr>
          <w:p w14:paraId="0F55FDE8">
            <w:pPr>
              <w:keepNext w:val="0"/>
              <w:keepLines w:val="0"/>
              <w:widowControl/>
              <w:suppressLineNumbers w:val="0"/>
              <w:jc w:val="center"/>
              <w:textAlignment w:val="center"/>
              <w:rPr>
                <w:rFonts w:ascii="仿宋_GB2312" w:hAnsi="宋体" w:eastAsia="仿宋_GB2312" w:cs="宋体"/>
                <w:snapToGrid w:val="0"/>
                <w:kern w:val="0"/>
                <w:sz w:val="36"/>
                <w:szCs w:val="36"/>
                <w:vertAlign w:val="baseline"/>
              </w:rPr>
            </w:pPr>
            <w:r>
              <w:rPr>
                <w:rFonts w:hint="eastAsia" w:ascii="黑体" w:hAnsi="黑体" w:eastAsia="黑体" w:cs="黑体"/>
                <w:i w:val="0"/>
                <w:iCs w:val="0"/>
                <w:color w:val="000000"/>
                <w:kern w:val="0"/>
                <w:sz w:val="32"/>
                <w:szCs w:val="32"/>
                <w:u w:val="none"/>
                <w:lang w:val="en-US" w:eastAsia="zh-CN" w:bidi="ar"/>
              </w:rPr>
              <w:t>决算数</w:t>
            </w:r>
          </w:p>
        </w:tc>
      </w:tr>
      <w:tr w14:paraId="632AC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4" w:hRule="atLeast"/>
        </w:trPr>
        <w:tc>
          <w:tcPr>
            <w:tcW w:w="2936" w:type="dxa"/>
            <w:vAlign w:val="center"/>
          </w:tcPr>
          <w:p w14:paraId="359FE8F5">
            <w:pPr>
              <w:keepNext w:val="0"/>
              <w:keepLines w:val="0"/>
              <w:widowControl/>
              <w:suppressLineNumbers w:val="0"/>
              <w:jc w:val="left"/>
              <w:textAlignment w:val="center"/>
              <w:rPr>
                <w:rFonts w:ascii="仿宋_GB2312" w:hAnsi="宋体" w:eastAsia="仿宋_GB2312" w:cs="宋体"/>
                <w:snapToGrid w:val="0"/>
                <w:kern w:val="0"/>
                <w:sz w:val="36"/>
                <w:szCs w:val="36"/>
                <w:vertAlign w:val="baseline"/>
              </w:rPr>
            </w:pPr>
            <w:r>
              <w:rPr>
                <w:rFonts w:hint="eastAsia" w:ascii="仿宋_GB2312" w:hAnsi="仿宋_GB2312" w:eastAsia="仿宋_GB2312" w:cs="仿宋_GB2312"/>
                <w:i w:val="0"/>
                <w:iCs w:val="0"/>
                <w:color w:val="000000"/>
                <w:kern w:val="0"/>
                <w:sz w:val="32"/>
                <w:szCs w:val="32"/>
                <w:u w:val="none"/>
                <w:lang w:val="en-US" w:eastAsia="zh-CN" w:bidi="ar"/>
              </w:rPr>
              <w:t>机关事业单位基本养老保险基金收入</w:t>
            </w:r>
          </w:p>
        </w:tc>
        <w:tc>
          <w:tcPr>
            <w:tcW w:w="1493" w:type="dxa"/>
            <w:vAlign w:val="center"/>
          </w:tcPr>
          <w:p w14:paraId="657F87E5">
            <w:pPr>
              <w:keepNext w:val="0"/>
              <w:keepLines w:val="0"/>
              <w:widowControl/>
              <w:suppressLineNumbers w:val="0"/>
              <w:jc w:val="left"/>
              <w:textAlignment w:val="center"/>
              <w:rPr>
                <w:rFonts w:ascii="仿宋_GB2312" w:hAnsi="宋体" w:eastAsia="仿宋_GB2312" w:cs="宋体"/>
                <w:snapToGrid w:val="0"/>
                <w:kern w:val="0"/>
                <w:sz w:val="36"/>
                <w:szCs w:val="36"/>
                <w:vertAlign w:val="baseline"/>
              </w:rPr>
            </w:pPr>
            <w:r>
              <w:rPr>
                <w:rFonts w:hint="eastAsia" w:ascii="仿宋_GB2312" w:hAnsi="仿宋_GB2312" w:eastAsia="仿宋_GB2312" w:cs="仿宋_GB2312"/>
                <w:i w:val="0"/>
                <w:iCs w:val="0"/>
                <w:color w:val="000000"/>
                <w:kern w:val="0"/>
                <w:sz w:val="32"/>
                <w:szCs w:val="32"/>
                <w:u w:val="none"/>
                <w:lang w:val="en-US" w:eastAsia="zh-CN" w:bidi="ar"/>
              </w:rPr>
              <w:t xml:space="preserve">40644 </w:t>
            </w:r>
          </w:p>
        </w:tc>
        <w:tc>
          <w:tcPr>
            <w:tcW w:w="2831" w:type="dxa"/>
            <w:vAlign w:val="center"/>
          </w:tcPr>
          <w:p w14:paraId="73CD2DE0">
            <w:pPr>
              <w:keepNext w:val="0"/>
              <w:keepLines w:val="0"/>
              <w:widowControl/>
              <w:suppressLineNumbers w:val="0"/>
              <w:jc w:val="left"/>
              <w:textAlignment w:val="center"/>
              <w:rPr>
                <w:rFonts w:ascii="仿宋_GB2312" w:hAnsi="宋体" w:eastAsia="仿宋_GB2312" w:cs="宋体"/>
                <w:snapToGrid w:val="0"/>
                <w:kern w:val="0"/>
                <w:sz w:val="36"/>
                <w:szCs w:val="36"/>
                <w:vertAlign w:val="baseline"/>
              </w:rPr>
            </w:pPr>
            <w:r>
              <w:rPr>
                <w:rFonts w:hint="eastAsia" w:ascii="仿宋_GB2312" w:hAnsi="仿宋_GB2312" w:eastAsia="仿宋_GB2312" w:cs="仿宋_GB2312"/>
                <w:i w:val="0"/>
                <w:iCs w:val="0"/>
                <w:color w:val="000000"/>
                <w:kern w:val="0"/>
                <w:sz w:val="32"/>
                <w:szCs w:val="32"/>
                <w:u w:val="none"/>
                <w:lang w:val="en-US" w:eastAsia="zh-CN" w:bidi="ar"/>
              </w:rPr>
              <w:t>机关事业单位基本养老保险基金支出</w:t>
            </w:r>
          </w:p>
        </w:tc>
        <w:tc>
          <w:tcPr>
            <w:tcW w:w="1599" w:type="dxa"/>
            <w:vAlign w:val="center"/>
          </w:tcPr>
          <w:p w14:paraId="2EE31207">
            <w:pPr>
              <w:keepNext w:val="0"/>
              <w:keepLines w:val="0"/>
              <w:widowControl/>
              <w:suppressLineNumbers w:val="0"/>
              <w:jc w:val="left"/>
              <w:textAlignment w:val="center"/>
              <w:rPr>
                <w:rFonts w:ascii="仿宋_GB2312" w:hAnsi="宋体" w:eastAsia="仿宋_GB2312" w:cs="宋体"/>
                <w:snapToGrid w:val="0"/>
                <w:kern w:val="0"/>
                <w:sz w:val="36"/>
                <w:szCs w:val="36"/>
                <w:vertAlign w:val="baseline"/>
              </w:rPr>
            </w:pPr>
            <w:r>
              <w:rPr>
                <w:rFonts w:hint="eastAsia" w:ascii="仿宋_GB2312" w:hAnsi="仿宋_GB2312" w:eastAsia="仿宋_GB2312" w:cs="仿宋_GB2312"/>
                <w:i w:val="0"/>
                <w:iCs w:val="0"/>
                <w:color w:val="000000"/>
                <w:kern w:val="0"/>
                <w:sz w:val="32"/>
                <w:szCs w:val="32"/>
                <w:u w:val="none"/>
                <w:lang w:val="en-US" w:eastAsia="zh-CN" w:bidi="ar"/>
              </w:rPr>
              <w:t>41943</w:t>
            </w:r>
          </w:p>
        </w:tc>
      </w:tr>
      <w:tr w14:paraId="1347D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trPr>
        <w:tc>
          <w:tcPr>
            <w:tcW w:w="2936" w:type="dxa"/>
            <w:vAlign w:val="center"/>
          </w:tcPr>
          <w:p w14:paraId="09561943">
            <w:pPr>
              <w:keepNext w:val="0"/>
              <w:keepLines w:val="0"/>
              <w:widowControl/>
              <w:suppressLineNumbers w:val="0"/>
              <w:jc w:val="left"/>
              <w:textAlignment w:val="center"/>
              <w:rPr>
                <w:rFonts w:ascii="仿宋_GB2312" w:hAnsi="宋体" w:eastAsia="仿宋_GB2312" w:cs="宋体"/>
                <w:snapToGrid w:val="0"/>
                <w:kern w:val="0"/>
                <w:sz w:val="36"/>
                <w:szCs w:val="36"/>
                <w:vertAlign w:val="baseline"/>
              </w:rPr>
            </w:pPr>
            <w:r>
              <w:rPr>
                <w:rFonts w:hint="eastAsia" w:ascii="仿宋_GB2312" w:hAnsi="仿宋_GB2312" w:eastAsia="仿宋_GB2312" w:cs="仿宋_GB2312"/>
                <w:i w:val="0"/>
                <w:iCs w:val="0"/>
                <w:color w:val="000000"/>
                <w:kern w:val="0"/>
                <w:sz w:val="32"/>
                <w:szCs w:val="32"/>
                <w:u w:val="none"/>
                <w:lang w:val="en-US" w:eastAsia="zh-CN" w:bidi="ar"/>
              </w:rPr>
              <w:t>城乡居民基本养老保险基金收入</w:t>
            </w:r>
          </w:p>
        </w:tc>
        <w:tc>
          <w:tcPr>
            <w:tcW w:w="1493" w:type="dxa"/>
            <w:vAlign w:val="center"/>
          </w:tcPr>
          <w:p w14:paraId="3316A255">
            <w:pPr>
              <w:keepNext w:val="0"/>
              <w:keepLines w:val="0"/>
              <w:widowControl/>
              <w:suppressLineNumbers w:val="0"/>
              <w:jc w:val="left"/>
              <w:textAlignment w:val="center"/>
              <w:rPr>
                <w:rFonts w:ascii="仿宋_GB2312" w:hAnsi="宋体" w:eastAsia="仿宋_GB2312" w:cs="宋体"/>
                <w:snapToGrid w:val="0"/>
                <w:kern w:val="0"/>
                <w:sz w:val="36"/>
                <w:szCs w:val="36"/>
                <w:vertAlign w:val="baseline"/>
              </w:rPr>
            </w:pPr>
            <w:r>
              <w:rPr>
                <w:rFonts w:hint="eastAsia" w:ascii="仿宋_GB2312" w:hAnsi="仿宋_GB2312" w:eastAsia="仿宋_GB2312" w:cs="仿宋_GB2312"/>
                <w:i w:val="0"/>
                <w:iCs w:val="0"/>
                <w:color w:val="000000"/>
                <w:kern w:val="0"/>
                <w:sz w:val="32"/>
                <w:szCs w:val="32"/>
                <w:u w:val="none"/>
                <w:lang w:val="en-US" w:eastAsia="zh-CN" w:bidi="ar"/>
              </w:rPr>
              <w:t xml:space="preserve">20727 </w:t>
            </w:r>
          </w:p>
        </w:tc>
        <w:tc>
          <w:tcPr>
            <w:tcW w:w="2831" w:type="dxa"/>
            <w:vAlign w:val="center"/>
          </w:tcPr>
          <w:p w14:paraId="3E369F17">
            <w:pPr>
              <w:keepNext w:val="0"/>
              <w:keepLines w:val="0"/>
              <w:widowControl/>
              <w:suppressLineNumbers w:val="0"/>
              <w:jc w:val="left"/>
              <w:textAlignment w:val="center"/>
              <w:rPr>
                <w:rFonts w:ascii="仿宋_GB2312" w:hAnsi="宋体" w:eastAsia="仿宋_GB2312" w:cs="宋体"/>
                <w:snapToGrid w:val="0"/>
                <w:kern w:val="0"/>
                <w:sz w:val="36"/>
                <w:szCs w:val="36"/>
                <w:vertAlign w:val="baseline"/>
              </w:rPr>
            </w:pPr>
            <w:r>
              <w:rPr>
                <w:rFonts w:hint="eastAsia" w:ascii="仿宋_GB2312" w:hAnsi="仿宋_GB2312" w:eastAsia="仿宋_GB2312" w:cs="仿宋_GB2312"/>
                <w:i w:val="0"/>
                <w:iCs w:val="0"/>
                <w:color w:val="000000"/>
                <w:kern w:val="0"/>
                <w:sz w:val="32"/>
                <w:szCs w:val="32"/>
                <w:u w:val="none"/>
                <w:lang w:val="en-US" w:eastAsia="zh-CN" w:bidi="ar"/>
              </w:rPr>
              <w:t>城乡居民基本养老保险基金支出</w:t>
            </w:r>
          </w:p>
        </w:tc>
        <w:tc>
          <w:tcPr>
            <w:tcW w:w="1599" w:type="dxa"/>
            <w:vAlign w:val="center"/>
          </w:tcPr>
          <w:p w14:paraId="0BEBAC19">
            <w:pPr>
              <w:keepNext w:val="0"/>
              <w:keepLines w:val="0"/>
              <w:widowControl/>
              <w:suppressLineNumbers w:val="0"/>
              <w:jc w:val="left"/>
              <w:textAlignment w:val="center"/>
              <w:rPr>
                <w:rFonts w:ascii="仿宋_GB2312" w:hAnsi="宋体" w:eastAsia="仿宋_GB2312" w:cs="宋体"/>
                <w:snapToGrid w:val="0"/>
                <w:kern w:val="0"/>
                <w:sz w:val="36"/>
                <w:szCs w:val="36"/>
                <w:vertAlign w:val="baseline"/>
              </w:rPr>
            </w:pPr>
            <w:r>
              <w:rPr>
                <w:rFonts w:hint="eastAsia" w:ascii="仿宋_GB2312" w:hAnsi="仿宋_GB2312" w:eastAsia="仿宋_GB2312" w:cs="仿宋_GB2312"/>
                <w:i w:val="0"/>
                <w:iCs w:val="0"/>
                <w:color w:val="000000"/>
                <w:kern w:val="0"/>
                <w:sz w:val="32"/>
                <w:szCs w:val="32"/>
                <w:u w:val="none"/>
                <w:lang w:val="en-US" w:eastAsia="zh-CN" w:bidi="ar"/>
              </w:rPr>
              <w:t>17342</w:t>
            </w:r>
          </w:p>
        </w:tc>
      </w:tr>
      <w:tr w14:paraId="68288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trPr>
        <w:tc>
          <w:tcPr>
            <w:tcW w:w="2936" w:type="dxa"/>
            <w:vAlign w:val="center"/>
          </w:tcPr>
          <w:p w14:paraId="373CAF39">
            <w:pPr>
              <w:keepNext w:val="0"/>
              <w:keepLines w:val="0"/>
              <w:widowControl/>
              <w:suppressLineNumbers w:val="0"/>
              <w:jc w:val="left"/>
              <w:textAlignment w:val="center"/>
              <w:rPr>
                <w:rFonts w:ascii="仿宋_GB2312" w:hAnsi="宋体" w:eastAsia="仿宋_GB2312" w:cs="宋体"/>
                <w:snapToGrid w:val="0"/>
                <w:kern w:val="0"/>
                <w:sz w:val="36"/>
                <w:szCs w:val="36"/>
                <w:vertAlign w:val="baseline"/>
              </w:rPr>
            </w:pPr>
            <w:r>
              <w:rPr>
                <w:rFonts w:hint="eastAsia" w:ascii="仿宋_GB2312" w:hAnsi="仿宋_GB2312" w:eastAsia="仿宋_GB2312" w:cs="仿宋_GB2312"/>
                <w:i w:val="0"/>
                <w:iCs w:val="0"/>
                <w:color w:val="000000"/>
                <w:kern w:val="0"/>
                <w:sz w:val="32"/>
                <w:szCs w:val="32"/>
                <w:u w:val="none"/>
                <w:lang w:val="en-US" w:eastAsia="zh-CN" w:bidi="ar"/>
              </w:rPr>
              <w:t>其他社会保险基金收入</w:t>
            </w:r>
          </w:p>
        </w:tc>
        <w:tc>
          <w:tcPr>
            <w:tcW w:w="1493" w:type="dxa"/>
            <w:vAlign w:val="center"/>
          </w:tcPr>
          <w:p w14:paraId="30678485">
            <w:pPr>
              <w:keepNext w:val="0"/>
              <w:keepLines w:val="0"/>
              <w:widowControl/>
              <w:suppressLineNumbers w:val="0"/>
              <w:jc w:val="left"/>
              <w:textAlignment w:val="center"/>
              <w:rPr>
                <w:rFonts w:ascii="仿宋_GB2312" w:hAnsi="宋体" w:eastAsia="仿宋_GB2312" w:cs="宋体"/>
                <w:snapToGrid w:val="0"/>
                <w:kern w:val="0"/>
                <w:sz w:val="36"/>
                <w:szCs w:val="36"/>
                <w:vertAlign w:val="baseline"/>
              </w:rPr>
            </w:pPr>
            <w:r>
              <w:rPr>
                <w:rFonts w:hint="eastAsia" w:ascii="仿宋_GB2312" w:hAnsi="仿宋_GB2312" w:eastAsia="仿宋_GB2312" w:cs="仿宋_GB2312"/>
                <w:i w:val="0"/>
                <w:iCs w:val="0"/>
                <w:color w:val="000000"/>
                <w:kern w:val="0"/>
                <w:sz w:val="32"/>
                <w:szCs w:val="32"/>
                <w:u w:val="none"/>
                <w:lang w:val="en-US" w:eastAsia="zh-CN" w:bidi="ar"/>
              </w:rPr>
              <w:t xml:space="preserve">1373 </w:t>
            </w:r>
          </w:p>
        </w:tc>
        <w:tc>
          <w:tcPr>
            <w:tcW w:w="2831" w:type="dxa"/>
            <w:vAlign w:val="center"/>
          </w:tcPr>
          <w:p w14:paraId="0630740A">
            <w:pPr>
              <w:keepNext w:val="0"/>
              <w:keepLines w:val="0"/>
              <w:widowControl/>
              <w:suppressLineNumbers w:val="0"/>
              <w:jc w:val="left"/>
              <w:textAlignment w:val="center"/>
              <w:rPr>
                <w:rFonts w:ascii="仿宋_GB2312" w:hAnsi="宋体" w:eastAsia="仿宋_GB2312" w:cs="宋体"/>
                <w:snapToGrid w:val="0"/>
                <w:kern w:val="0"/>
                <w:sz w:val="36"/>
                <w:szCs w:val="36"/>
                <w:vertAlign w:val="baseline"/>
              </w:rPr>
            </w:pPr>
            <w:r>
              <w:rPr>
                <w:rFonts w:hint="eastAsia" w:ascii="仿宋_GB2312" w:hAnsi="仿宋_GB2312" w:eastAsia="仿宋_GB2312" w:cs="仿宋_GB2312"/>
                <w:i w:val="0"/>
                <w:iCs w:val="0"/>
                <w:color w:val="000000"/>
                <w:kern w:val="0"/>
                <w:sz w:val="32"/>
                <w:szCs w:val="32"/>
                <w:u w:val="none"/>
                <w:lang w:val="en-US" w:eastAsia="zh-CN" w:bidi="ar"/>
              </w:rPr>
              <w:t>其他社会保险基金支出</w:t>
            </w:r>
          </w:p>
        </w:tc>
        <w:tc>
          <w:tcPr>
            <w:tcW w:w="1599" w:type="dxa"/>
            <w:vAlign w:val="center"/>
          </w:tcPr>
          <w:p w14:paraId="460D355D">
            <w:pPr>
              <w:keepNext w:val="0"/>
              <w:keepLines w:val="0"/>
              <w:widowControl/>
              <w:suppressLineNumbers w:val="0"/>
              <w:jc w:val="left"/>
              <w:textAlignment w:val="center"/>
              <w:rPr>
                <w:rFonts w:ascii="仿宋_GB2312" w:hAnsi="宋体" w:eastAsia="仿宋_GB2312" w:cs="宋体"/>
                <w:snapToGrid w:val="0"/>
                <w:kern w:val="0"/>
                <w:sz w:val="36"/>
                <w:szCs w:val="36"/>
                <w:vertAlign w:val="baseline"/>
              </w:rPr>
            </w:pPr>
            <w:r>
              <w:rPr>
                <w:rFonts w:hint="eastAsia" w:ascii="仿宋_GB2312" w:hAnsi="仿宋_GB2312" w:eastAsia="仿宋_GB2312" w:cs="仿宋_GB2312"/>
                <w:i w:val="0"/>
                <w:iCs w:val="0"/>
                <w:color w:val="000000"/>
                <w:kern w:val="0"/>
                <w:sz w:val="32"/>
                <w:szCs w:val="32"/>
                <w:u w:val="none"/>
                <w:lang w:val="en-US" w:eastAsia="zh-CN" w:bidi="ar"/>
              </w:rPr>
              <w:t>1281</w:t>
            </w:r>
          </w:p>
        </w:tc>
      </w:tr>
      <w:tr w14:paraId="5F04C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2936" w:type="dxa"/>
            <w:shd w:val="clear" w:color="auto" w:fill="auto"/>
            <w:vAlign w:val="center"/>
          </w:tcPr>
          <w:p w14:paraId="389C000F">
            <w:pPr>
              <w:keepNext w:val="0"/>
              <w:keepLines w:val="0"/>
              <w:widowControl/>
              <w:suppressLineNumbers w:val="0"/>
              <w:jc w:val="left"/>
              <w:textAlignment w:val="center"/>
              <w:rPr>
                <w:rFonts w:hint="default" w:ascii="仿宋_GB2312" w:hAnsi="宋体" w:eastAsia="仿宋_GB2312" w:cs="宋体"/>
                <w:snapToGrid w:val="0"/>
                <w:kern w:val="0"/>
                <w:sz w:val="36"/>
                <w:szCs w:val="36"/>
                <w:vertAlign w:val="baseline"/>
                <w:lang w:val="en-US" w:eastAsia="zh-CN" w:bidi="ar-SA"/>
              </w:rPr>
            </w:pPr>
            <w:r>
              <w:rPr>
                <w:rFonts w:hint="eastAsia" w:ascii="仿宋_GB2312" w:hAnsi="仿宋_GB2312" w:eastAsia="仿宋_GB2312" w:cs="仿宋_GB2312"/>
                <w:i w:val="0"/>
                <w:iCs w:val="0"/>
                <w:color w:val="000000"/>
                <w:kern w:val="0"/>
                <w:sz w:val="32"/>
                <w:szCs w:val="32"/>
                <w:u w:val="none"/>
                <w:lang w:val="en-US" w:eastAsia="zh-CN" w:bidi="ar"/>
              </w:rPr>
              <w:t>社保基金预算收入合计</w:t>
            </w:r>
          </w:p>
        </w:tc>
        <w:tc>
          <w:tcPr>
            <w:tcW w:w="1493" w:type="dxa"/>
            <w:shd w:val="clear" w:color="auto" w:fill="auto"/>
            <w:vAlign w:val="center"/>
          </w:tcPr>
          <w:p w14:paraId="37FD8BDF">
            <w:pPr>
              <w:keepNext w:val="0"/>
              <w:keepLines w:val="0"/>
              <w:widowControl/>
              <w:suppressLineNumbers w:val="0"/>
              <w:jc w:val="left"/>
              <w:textAlignment w:val="center"/>
              <w:rPr>
                <w:rFonts w:hint="eastAsia" w:ascii="仿宋_GB2312" w:hAnsi="宋体" w:eastAsia="仿宋_GB2312" w:cs="宋体"/>
                <w:snapToGrid w:val="0"/>
                <w:kern w:val="0"/>
                <w:sz w:val="36"/>
                <w:szCs w:val="36"/>
                <w:vertAlign w:val="baseline"/>
                <w:lang w:val="en-US" w:eastAsia="zh-CN" w:bidi="ar-SA"/>
              </w:rPr>
            </w:pPr>
            <w:r>
              <w:rPr>
                <w:rFonts w:hint="eastAsia" w:ascii="仿宋_GB2312" w:hAnsi="仿宋_GB2312" w:eastAsia="仿宋_GB2312" w:cs="仿宋_GB2312"/>
                <w:i w:val="0"/>
                <w:iCs w:val="0"/>
                <w:color w:val="000000"/>
                <w:kern w:val="0"/>
                <w:sz w:val="32"/>
                <w:szCs w:val="32"/>
                <w:u w:val="none"/>
                <w:lang w:val="en-US" w:eastAsia="zh-CN" w:bidi="ar"/>
              </w:rPr>
              <w:t>62744</w:t>
            </w:r>
          </w:p>
        </w:tc>
        <w:tc>
          <w:tcPr>
            <w:tcW w:w="2831" w:type="dxa"/>
            <w:shd w:val="clear" w:color="auto" w:fill="auto"/>
            <w:vAlign w:val="center"/>
          </w:tcPr>
          <w:p w14:paraId="6BC8E533">
            <w:pPr>
              <w:keepNext w:val="0"/>
              <w:keepLines w:val="0"/>
              <w:widowControl/>
              <w:suppressLineNumbers w:val="0"/>
              <w:jc w:val="left"/>
              <w:textAlignment w:val="center"/>
              <w:rPr>
                <w:rFonts w:hint="default" w:ascii="仿宋_GB2312" w:hAnsi="宋体" w:eastAsia="仿宋_GB2312" w:cs="宋体"/>
                <w:snapToGrid w:val="0"/>
                <w:kern w:val="0"/>
                <w:sz w:val="36"/>
                <w:szCs w:val="36"/>
                <w:vertAlign w:val="baseline"/>
                <w:lang w:val="en-US" w:eastAsia="zh-CN" w:bidi="ar-SA"/>
              </w:rPr>
            </w:pPr>
            <w:r>
              <w:rPr>
                <w:rFonts w:hint="eastAsia" w:ascii="仿宋_GB2312" w:hAnsi="仿宋_GB2312" w:eastAsia="仿宋_GB2312" w:cs="仿宋_GB2312"/>
                <w:i w:val="0"/>
                <w:iCs w:val="0"/>
                <w:color w:val="000000"/>
                <w:kern w:val="0"/>
                <w:sz w:val="32"/>
                <w:szCs w:val="32"/>
                <w:u w:val="none"/>
                <w:lang w:val="en-US" w:eastAsia="zh-CN" w:bidi="ar"/>
              </w:rPr>
              <w:t>社保基金预算支出合计</w:t>
            </w:r>
          </w:p>
        </w:tc>
        <w:tc>
          <w:tcPr>
            <w:tcW w:w="1599" w:type="dxa"/>
            <w:shd w:val="clear" w:color="auto" w:fill="auto"/>
            <w:vAlign w:val="center"/>
          </w:tcPr>
          <w:p w14:paraId="41FABFE7">
            <w:pPr>
              <w:keepNext w:val="0"/>
              <w:keepLines w:val="0"/>
              <w:widowControl/>
              <w:suppressLineNumbers w:val="0"/>
              <w:jc w:val="left"/>
              <w:textAlignment w:val="center"/>
              <w:rPr>
                <w:rFonts w:hint="eastAsia" w:ascii="仿宋_GB2312" w:hAnsi="宋体" w:eastAsia="仿宋_GB2312" w:cs="宋体"/>
                <w:snapToGrid w:val="0"/>
                <w:kern w:val="0"/>
                <w:sz w:val="36"/>
                <w:szCs w:val="36"/>
                <w:vertAlign w:val="baseline"/>
                <w:lang w:val="en-US" w:eastAsia="zh-CN" w:bidi="ar-SA"/>
              </w:rPr>
            </w:pPr>
            <w:r>
              <w:rPr>
                <w:rFonts w:hint="eastAsia" w:ascii="仿宋_GB2312" w:hAnsi="仿宋_GB2312" w:eastAsia="仿宋_GB2312" w:cs="仿宋_GB2312"/>
                <w:i w:val="0"/>
                <w:iCs w:val="0"/>
                <w:color w:val="000000"/>
                <w:kern w:val="0"/>
                <w:sz w:val="32"/>
                <w:szCs w:val="32"/>
                <w:u w:val="none"/>
                <w:lang w:val="en-US" w:eastAsia="zh-CN" w:bidi="ar"/>
              </w:rPr>
              <w:t>60566</w:t>
            </w:r>
          </w:p>
        </w:tc>
      </w:tr>
      <w:tr w14:paraId="338EE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trPr>
        <w:tc>
          <w:tcPr>
            <w:tcW w:w="2936" w:type="dxa"/>
            <w:shd w:val="clear" w:color="auto" w:fill="auto"/>
            <w:vAlign w:val="center"/>
          </w:tcPr>
          <w:p w14:paraId="36891D8F">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32"/>
                <w:szCs w:val="32"/>
                <w:u w:val="none"/>
                <w:lang w:val="en-US" w:eastAsia="zh-CN" w:bidi="ar"/>
              </w:rPr>
            </w:pPr>
          </w:p>
        </w:tc>
        <w:tc>
          <w:tcPr>
            <w:tcW w:w="1493" w:type="dxa"/>
            <w:shd w:val="clear" w:color="auto" w:fill="auto"/>
            <w:vAlign w:val="center"/>
          </w:tcPr>
          <w:p w14:paraId="44D42351">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32"/>
                <w:szCs w:val="32"/>
                <w:u w:val="none"/>
                <w:lang w:val="en-US" w:eastAsia="zh-CN" w:bidi="ar"/>
              </w:rPr>
            </w:pPr>
          </w:p>
        </w:tc>
        <w:tc>
          <w:tcPr>
            <w:tcW w:w="2831" w:type="dxa"/>
            <w:shd w:val="clear" w:color="auto" w:fill="auto"/>
            <w:vAlign w:val="center"/>
          </w:tcPr>
          <w:p w14:paraId="62093571">
            <w:pPr>
              <w:keepNext w:val="0"/>
              <w:keepLines w:val="0"/>
              <w:widowControl/>
              <w:suppressLineNumbers w:val="0"/>
              <w:jc w:val="left"/>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当年社保基金收支结余</w:t>
            </w:r>
          </w:p>
        </w:tc>
        <w:tc>
          <w:tcPr>
            <w:tcW w:w="1599" w:type="dxa"/>
            <w:shd w:val="clear" w:color="auto" w:fill="auto"/>
            <w:vAlign w:val="center"/>
          </w:tcPr>
          <w:p w14:paraId="7491CE76">
            <w:pPr>
              <w:keepNext w:val="0"/>
              <w:keepLines w:val="0"/>
              <w:widowControl/>
              <w:suppressLineNumbers w:val="0"/>
              <w:jc w:val="left"/>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2178</w:t>
            </w:r>
          </w:p>
        </w:tc>
      </w:tr>
      <w:tr w14:paraId="29F27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trPr>
        <w:tc>
          <w:tcPr>
            <w:tcW w:w="2936" w:type="dxa"/>
            <w:shd w:val="clear" w:color="auto" w:fill="auto"/>
            <w:vAlign w:val="center"/>
          </w:tcPr>
          <w:p w14:paraId="0A2C2EAB">
            <w:pPr>
              <w:keepNext w:val="0"/>
              <w:keepLines w:val="0"/>
              <w:widowControl/>
              <w:suppressLineNumbers w:val="0"/>
              <w:jc w:val="left"/>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社保基金预算支出总计</w:t>
            </w:r>
          </w:p>
        </w:tc>
        <w:tc>
          <w:tcPr>
            <w:tcW w:w="1493" w:type="dxa"/>
            <w:shd w:val="clear" w:color="auto" w:fill="auto"/>
            <w:vAlign w:val="center"/>
          </w:tcPr>
          <w:p w14:paraId="2A8732C6">
            <w:pPr>
              <w:keepNext w:val="0"/>
              <w:keepLines w:val="0"/>
              <w:widowControl/>
              <w:suppressLineNumbers w:val="0"/>
              <w:jc w:val="left"/>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62744</w:t>
            </w:r>
          </w:p>
        </w:tc>
        <w:tc>
          <w:tcPr>
            <w:tcW w:w="2831" w:type="dxa"/>
            <w:shd w:val="clear" w:color="auto" w:fill="auto"/>
            <w:vAlign w:val="center"/>
          </w:tcPr>
          <w:p w14:paraId="78BEEFC7">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社保基金预算支出总计</w:t>
            </w:r>
          </w:p>
        </w:tc>
        <w:tc>
          <w:tcPr>
            <w:tcW w:w="1599" w:type="dxa"/>
            <w:shd w:val="clear" w:color="auto" w:fill="auto"/>
            <w:vAlign w:val="center"/>
          </w:tcPr>
          <w:p w14:paraId="4DB58BDD">
            <w:pPr>
              <w:keepNext w:val="0"/>
              <w:keepLines w:val="0"/>
              <w:widowControl/>
              <w:suppressLineNumbers w:val="0"/>
              <w:jc w:val="left"/>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62744</w:t>
            </w:r>
          </w:p>
        </w:tc>
      </w:tr>
    </w:tbl>
    <w:p w14:paraId="03E484AA">
      <w:pPr>
        <w:pStyle w:val="2"/>
        <w:ind w:left="0" w:leftChars="0" w:firstLine="0" w:firstLineChars="0"/>
        <w:rPr>
          <w:rFonts w:hint="eastAsia" w:ascii="仿宋_GB2312" w:hAnsi="宋体" w:eastAsia="仿宋_GB2312" w:cs="宋体"/>
          <w:snapToGrid w:val="0"/>
          <w:kern w:val="0"/>
          <w:sz w:val="36"/>
          <w:szCs w:val="36"/>
          <w:lang w:val="en-US" w:eastAsia="zh-CN"/>
        </w:rPr>
      </w:pPr>
    </w:p>
    <w:p w14:paraId="30681E7D">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 w:hAnsi="仿宋" w:eastAsia="仿宋" w:cs="仿宋"/>
          <w:sz w:val="32"/>
          <w:szCs w:val="32"/>
          <w:highlight w:val="none"/>
        </w:rPr>
      </w:pPr>
    </w:p>
    <w:p w14:paraId="2B481BD6">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附表</w:t>
      </w:r>
      <w:r>
        <w:rPr>
          <w:rFonts w:hint="eastAsia" w:ascii="仿宋" w:hAnsi="仿宋" w:eastAsia="仿宋" w:cs="仿宋"/>
          <w:sz w:val="32"/>
          <w:szCs w:val="32"/>
          <w:highlight w:val="none"/>
          <w:lang w:eastAsia="zh-CN"/>
        </w:rPr>
        <w:t>四</w:t>
      </w:r>
    </w:p>
    <w:p w14:paraId="77DA4750">
      <w:pPr>
        <w:pStyle w:val="8"/>
        <w:keepNext w:val="0"/>
        <w:keepLines w:val="0"/>
        <w:pageBreakBefore w:val="0"/>
        <w:widowControl w:val="0"/>
        <w:kinsoku/>
        <w:wordWrap/>
        <w:topLinePunct w:val="0"/>
        <w:autoSpaceDE/>
        <w:autoSpaceDN/>
        <w:bidi w:val="0"/>
        <w:adjustRightInd w:val="0"/>
        <w:snapToGrid w:val="0"/>
        <w:spacing w:line="560" w:lineRule="exact"/>
        <w:jc w:val="center"/>
        <w:textAlignment w:val="auto"/>
        <w:rPr>
          <w:rFonts w:hint="eastAsia" w:ascii="仿宋" w:hAnsi="仿宋" w:eastAsia="仿宋" w:cs="仿宋"/>
          <w:bCs/>
          <w:sz w:val="40"/>
          <w:szCs w:val="40"/>
        </w:rPr>
      </w:pPr>
      <w:r>
        <w:rPr>
          <w:rFonts w:hint="eastAsia" w:ascii="黑体" w:hAnsi="黑体" w:eastAsia="黑体" w:cs="黑体"/>
          <w:bCs/>
          <w:sz w:val="40"/>
          <w:szCs w:val="40"/>
          <w:highlight w:val="none"/>
        </w:rPr>
        <w:t>西峡县202</w:t>
      </w:r>
      <w:r>
        <w:rPr>
          <w:rFonts w:hint="eastAsia" w:ascii="黑体" w:hAnsi="黑体" w:eastAsia="黑体" w:cs="黑体"/>
          <w:bCs/>
          <w:sz w:val="40"/>
          <w:szCs w:val="40"/>
          <w:highlight w:val="none"/>
          <w:lang w:val="en-US" w:eastAsia="zh-CN"/>
        </w:rPr>
        <w:t>5</w:t>
      </w:r>
      <w:r>
        <w:rPr>
          <w:rFonts w:hint="eastAsia" w:ascii="黑体" w:hAnsi="黑体" w:eastAsia="黑体" w:cs="黑体"/>
          <w:bCs/>
          <w:sz w:val="40"/>
          <w:szCs w:val="40"/>
          <w:highlight w:val="none"/>
        </w:rPr>
        <w:t>年国有资本经营收支决算总表</w:t>
      </w:r>
      <w:r>
        <w:rPr>
          <w:rFonts w:hint="eastAsia" w:ascii="黑体" w:hAnsi="黑体" w:eastAsia="黑体" w:cs="黑体"/>
          <w:bCs/>
          <w:sz w:val="40"/>
          <w:szCs w:val="40"/>
          <w:highlight w:val="none"/>
          <w:lang w:eastAsia="zh-CN"/>
        </w:rPr>
        <w:t>（草案）</w:t>
      </w:r>
    </w:p>
    <w:p w14:paraId="5DD93A8C">
      <w:pPr>
        <w:pStyle w:val="8"/>
        <w:keepNext w:val="0"/>
        <w:keepLines w:val="0"/>
        <w:pageBreakBefore w:val="0"/>
        <w:widowControl w:val="0"/>
        <w:kinsoku/>
        <w:wordWrap/>
        <w:overflowPunct/>
        <w:topLinePunct w:val="0"/>
        <w:autoSpaceDE/>
        <w:autoSpaceDN/>
        <w:bidi w:val="0"/>
        <w:adjustRightInd w:val="0"/>
        <w:snapToGrid w:val="0"/>
        <w:spacing w:line="560" w:lineRule="exact"/>
        <w:ind w:firstLine="320" w:firstLineChars="100"/>
        <w:jc w:val="right"/>
        <w:textAlignment w:val="auto"/>
        <w:rPr>
          <w:rFonts w:hint="eastAsia" w:ascii="仿宋" w:hAnsi="仿宋" w:eastAsia="仿宋" w:cs="仿宋"/>
          <w:sz w:val="32"/>
          <w:szCs w:val="32"/>
        </w:rPr>
      </w:pPr>
      <w:r>
        <w:rPr>
          <w:rFonts w:hint="eastAsia" w:ascii="仿宋" w:hAnsi="仿宋" w:eastAsia="仿宋" w:cs="仿宋"/>
          <w:sz w:val="32"/>
          <w:szCs w:val="32"/>
        </w:rPr>
        <w:t>单位:万元</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4"/>
        <w:gridCol w:w="1186"/>
        <w:gridCol w:w="3027"/>
        <w:gridCol w:w="1361"/>
      </w:tblGrid>
      <w:tr w14:paraId="3602F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trPr>
        <w:tc>
          <w:tcPr>
            <w:tcW w:w="2884" w:type="dxa"/>
            <w:vAlign w:val="center"/>
          </w:tcPr>
          <w:p w14:paraId="7C5403A7">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黑体" w:hAnsi="黑体" w:eastAsia="黑体" w:cs="黑体"/>
                <w:bCs/>
                <w:sz w:val="28"/>
                <w:szCs w:val="28"/>
              </w:rPr>
            </w:pPr>
            <w:r>
              <w:rPr>
                <w:rFonts w:hint="eastAsia" w:ascii="黑体" w:hAnsi="黑体" w:eastAsia="黑体" w:cs="黑体"/>
                <w:bCs/>
                <w:sz w:val="28"/>
                <w:szCs w:val="28"/>
              </w:rPr>
              <w:t>预算科目</w:t>
            </w:r>
          </w:p>
        </w:tc>
        <w:tc>
          <w:tcPr>
            <w:tcW w:w="1186" w:type="dxa"/>
            <w:vAlign w:val="center"/>
          </w:tcPr>
          <w:p w14:paraId="34B83803">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黑体" w:hAnsi="黑体" w:eastAsia="黑体" w:cs="黑体"/>
                <w:bCs/>
                <w:sz w:val="28"/>
                <w:szCs w:val="28"/>
              </w:rPr>
            </w:pPr>
            <w:r>
              <w:rPr>
                <w:rFonts w:hint="eastAsia" w:ascii="黑体" w:hAnsi="黑体" w:eastAsia="黑体" w:cs="黑体"/>
                <w:bCs/>
                <w:sz w:val="28"/>
                <w:szCs w:val="28"/>
              </w:rPr>
              <w:t>决算数</w:t>
            </w:r>
          </w:p>
        </w:tc>
        <w:tc>
          <w:tcPr>
            <w:tcW w:w="3027" w:type="dxa"/>
            <w:vAlign w:val="center"/>
          </w:tcPr>
          <w:p w14:paraId="7B6AF46A">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黑体" w:hAnsi="黑体" w:eastAsia="黑体" w:cs="黑体"/>
                <w:bCs/>
                <w:sz w:val="28"/>
                <w:szCs w:val="28"/>
              </w:rPr>
            </w:pPr>
            <w:r>
              <w:rPr>
                <w:rFonts w:hint="eastAsia" w:ascii="黑体" w:hAnsi="黑体" w:eastAsia="黑体" w:cs="黑体"/>
                <w:bCs/>
                <w:sz w:val="28"/>
                <w:szCs w:val="28"/>
              </w:rPr>
              <w:t>预算科目</w:t>
            </w:r>
          </w:p>
        </w:tc>
        <w:tc>
          <w:tcPr>
            <w:tcW w:w="1361" w:type="dxa"/>
            <w:vAlign w:val="center"/>
          </w:tcPr>
          <w:p w14:paraId="068EB14E">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黑体" w:hAnsi="黑体" w:eastAsia="黑体" w:cs="黑体"/>
                <w:bCs/>
                <w:sz w:val="28"/>
                <w:szCs w:val="28"/>
              </w:rPr>
            </w:pPr>
            <w:r>
              <w:rPr>
                <w:rFonts w:hint="eastAsia" w:ascii="黑体" w:hAnsi="黑体" w:eastAsia="黑体" w:cs="黑体"/>
                <w:bCs/>
                <w:sz w:val="28"/>
                <w:szCs w:val="28"/>
              </w:rPr>
              <w:t>决算数</w:t>
            </w:r>
          </w:p>
        </w:tc>
      </w:tr>
      <w:tr w14:paraId="3A2ED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2" w:hRule="atLeast"/>
        </w:trPr>
        <w:tc>
          <w:tcPr>
            <w:tcW w:w="2884" w:type="dxa"/>
            <w:vAlign w:val="center"/>
          </w:tcPr>
          <w:p w14:paraId="7F33ED17">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国有资本经营收入</w:t>
            </w:r>
          </w:p>
        </w:tc>
        <w:tc>
          <w:tcPr>
            <w:tcW w:w="1186" w:type="dxa"/>
            <w:vAlign w:val="center"/>
          </w:tcPr>
          <w:p w14:paraId="3F35EBC4">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11000</w:t>
            </w:r>
          </w:p>
        </w:tc>
        <w:tc>
          <w:tcPr>
            <w:tcW w:w="3027" w:type="dxa"/>
            <w:vAlign w:val="center"/>
          </w:tcPr>
          <w:p w14:paraId="397289F5">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国有资本经营预算支出</w:t>
            </w:r>
          </w:p>
        </w:tc>
        <w:tc>
          <w:tcPr>
            <w:tcW w:w="1361" w:type="dxa"/>
            <w:vAlign w:val="center"/>
          </w:tcPr>
          <w:p w14:paraId="03A6BB66">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20</w:t>
            </w:r>
          </w:p>
        </w:tc>
      </w:tr>
      <w:tr w14:paraId="4A137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3" w:hRule="atLeast"/>
        </w:trPr>
        <w:tc>
          <w:tcPr>
            <w:tcW w:w="2884" w:type="dxa"/>
            <w:vAlign w:val="center"/>
          </w:tcPr>
          <w:p w14:paraId="0641FE99">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其中：</w:t>
            </w:r>
            <w:r>
              <w:rPr>
                <w:rFonts w:hint="eastAsia" w:ascii="仿宋_GB2312" w:hAnsi="仿宋_GB2312" w:eastAsia="仿宋_GB2312" w:cs="仿宋_GB2312"/>
                <w:bCs/>
                <w:sz w:val="32"/>
                <w:szCs w:val="32"/>
                <w:lang w:val="en-US" w:eastAsia="zh-CN"/>
              </w:rPr>
              <w:t>其他国有资本经营预算</w:t>
            </w:r>
            <w:r>
              <w:rPr>
                <w:rFonts w:hint="eastAsia" w:ascii="仿宋_GB2312" w:hAnsi="仿宋_GB2312" w:eastAsia="仿宋_GB2312" w:cs="仿宋_GB2312"/>
                <w:bCs/>
                <w:sz w:val="32"/>
                <w:szCs w:val="32"/>
              </w:rPr>
              <w:t>收入</w:t>
            </w:r>
          </w:p>
        </w:tc>
        <w:tc>
          <w:tcPr>
            <w:tcW w:w="1186" w:type="dxa"/>
            <w:vAlign w:val="center"/>
          </w:tcPr>
          <w:p w14:paraId="1738FB45">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11000</w:t>
            </w:r>
          </w:p>
        </w:tc>
        <w:tc>
          <w:tcPr>
            <w:tcW w:w="3027" w:type="dxa"/>
            <w:vAlign w:val="center"/>
          </w:tcPr>
          <w:p w14:paraId="0D933208">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其中：国有企业退休人员社会化管理补助支出</w:t>
            </w:r>
          </w:p>
        </w:tc>
        <w:tc>
          <w:tcPr>
            <w:tcW w:w="1361" w:type="dxa"/>
            <w:vAlign w:val="center"/>
          </w:tcPr>
          <w:p w14:paraId="4655AF5B">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20</w:t>
            </w:r>
          </w:p>
        </w:tc>
      </w:tr>
      <w:tr w14:paraId="0E68B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3" w:hRule="atLeast"/>
        </w:trPr>
        <w:tc>
          <w:tcPr>
            <w:tcW w:w="2884" w:type="dxa"/>
            <w:vAlign w:val="center"/>
          </w:tcPr>
          <w:p w14:paraId="759AFD0E">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本年收入合计</w:t>
            </w:r>
          </w:p>
        </w:tc>
        <w:tc>
          <w:tcPr>
            <w:tcW w:w="1186" w:type="dxa"/>
            <w:vAlign w:val="center"/>
          </w:tcPr>
          <w:p w14:paraId="5FE08C6D">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11000</w:t>
            </w:r>
          </w:p>
        </w:tc>
        <w:tc>
          <w:tcPr>
            <w:tcW w:w="3027" w:type="dxa"/>
            <w:vAlign w:val="center"/>
          </w:tcPr>
          <w:p w14:paraId="6203F964">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ascii="仿宋_GB2312" w:hAnsi="仿宋_GB2312" w:eastAsia="仿宋_GB2312" w:cs="仿宋_GB2312"/>
                <w:b/>
                <w:sz w:val="32"/>
                <w:szCs w:val="32"/>
              </w:rPr>
            </w:pPr>
            <w:r>
              <w:rPr>
                <w:rFonts w:hint="eastAsia" w:ascii="仿宋_GB2312" w:hAnsi="仿宋_GB2312" w:eastAsia="仿宋_GB2312" w:cs="仿宋_GB2312"/>
                <w:b/>
                <w:sz w:val="32"/>
                <w:szCs w:val="32"/>
              </w:rPr>
              <w:t>本年支出合计</w:t>
            </w:r>
          </w:p>
        </w:tc>
        <w:tc>
          <w:tcPr>
            <w:tcW w:w="1361" w:type="dxa"/>
            <w:vAlign w:val="center"/>
          </w:tcPr>
          <w:p w14:paraId="36EB5C31">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20</w:t>
            </w:r>
          </w:p>
        </w:tc>
      </w:tr>
      <w:tr w14:paraId="4AB94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8" w:hRule="atLeast"/>
        </w:trPr>
        <w:tc>
          <w:tcPr>
            <w:tcW w:w="2884" w:type="dxa"/>
            <w:vAlign w:val="center"/>
          </w:tcPr>
          <w:p w14:paraId="1E685AF6">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上级补助收入</w:t>
            </w:r>
          </w:p>
        </w:tc>
        <w:tc>
          <w:tcPr>
            <w:tcW w:w="1186" w:type="dxa"/>
            <w:vAlign w:val="center"/>
          </w:tcPr>
          <w:p w14:paraId="4C8EC151">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20</w:t>
            </w:r>
          </w:p>
        </w:tc>
        <w:tc>
          <w:tcPr>
            <w:tcW w:w="3027" w:type="dxa"/>
            <w:vAlign w:val="center"/>
          </w:tcPr>
          <w:p w14:paraId="471DA50A">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ascii="仿宋_GB2312" w:hAnsi="仿宋_GB2312" w:eastAsia="仿宋_GB2312" w:cs="仿宋_GB2312"/>
                <w:bCs/>
                <w:sz w:val="32"/>
                <w:szCs w:val="32"/>
              </w:rPr>
            </w:pPr>
            <w:r>
              <w:rPr>
                <w:rFonts w:hint="eastAsia" w:ascii="仿宋_GB2312" w:hAnsi="仿宋_GB2312" w:eastAsia="仿宋_GB2312" w:cs="仿宋_GB2312"/>
                <w:sz w:val="32"/>
                <w:szCs w:val="32"/>
              </w:rPr>
              <w:t>调出资金</w:t>
            </w:r>
          </w:p>
        </w:tc>
        <w:tc>
          <w:tcPr>
            <w:tcW w:w="1361" w:type="dxa"/>
            <w:vAlign w:val="center"/>
          </w:tcPr>
          <w:p w14:paraId="542C5A9C">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11000</w:t>
            </w:r>
          </w:p>
        </w:tc>
      </w:tr>
      <w:tr w14:paraId="5F8EB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7" w:hRule="atLeast"/>
        </w:trPr>
        <w:tc>
          <w:tcPr>
            <w:tcW w:w="2884" w:type="dxa"/>
            <w:vAlign w:val="center"/>
          </w:tcPr>
          <w:p w14:paraId="57F379C9">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ascii="仿宋_GB2312" w:hAnsi="仿宋_GB2312" w:eastAsia="仿宋_GB2312" w:cs="仿宋_GB2312"/>
                <w:b/>
                <w:sz w:val="32"/>
                <w:szCs w:val="32"/>
              </w:rPr>
            </w:pPr>
            <w:r>
              <w:rPr>
                <w:rFonts w:hint="eastAsia" w:ascii="仿宋_GB2312" w:hAnsi="仿宋_GB2312" w:eastAsia="仿宋_GB2312" w:cs="仿宋_GB2312"/>
                <w:b/>
                <w:sz w:val="32"/>
                <w:szCs w:val="32"/>
              </w:rPr>
              <w:t>收入总计</w:t>
            </w:r>
          </w:p>
        </w:tc>
        <w:tc>
          <w:tcPr>
            <w:tcW w:w="1186" w:type="dxa"/>
            <w:vAlign w:val="center"/>
          </w:tcPr>
          <w:p w14:paraId="4946647C">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11020</w:t>
            </w:r>
          </w:p>
        </w:tc>
        <w:tc>
          <w:tcPr>
            <w:tcW w:w="3027" w:type="dxa"/>
            <w:vAlign w:val="center"/>
          </w:tcPr>
          <w:p w14:paraId="6C7BEA21">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ascii="仿宋_GB2312" w:hAnsi="仿宋_GB2312" w:eastAsia="仿宋_GB2312" w:cs="仿宋_GB2312"/>
                <w:b/>
                <w:sz w:val="32"/>
                <w:szCs w:val="32"/>
              </w:rPr>
            </w:pPr>
            <w:r>
              <w:rPr>
                <w:rFonts w:hint="eastAsia" w:ascii="仿宋_GB2312" w:hAnsi="仿宋_GB2312" w:eastAsia="仿宋_GB2312" w:cs="仿宋_GB2312"/>
                <w:b/>
                <w:sz w:val="32"/>
                <w:szCs w:val="32"/>
              </w:rPr>
              <w:t>支出总计</w:t>
            </w:r>
          </w:p>
        </w:tc>
        <w:tc>
          <w:tcPr>
            <w:tcW w:w="1361" w:type="dxa"/>
            <w:vAlign w:val="center"/>
          </w:tcPr>
          <w:p w14:paraId="4F58D1C4">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11020</w:t>
            </w:r>
          </w:p>
        </w:tc>
      </w:tr>
    </w:tbl>
    <w:p w14:paraId="116F5D78">
      <w:pPr>
        <w:keepNext w:val="0"/>
        <w:keepLines w:val="0"/>
        <w:pageBreakBefore w:val="0"/>
        <w:widowControl w:val="0"/>
        <w:kinsoku/>
        <w:wordWrap/>
        <w:overflowPunct/>
        <w:topLinePunct w:val="0"/>
        <w:autoSpaceDE/>
        <w:autoSpaceDN/>
        <w:bidi w:val="0"/>
        <w:adjustRightInd w:val="0"/>
        <w:snapToGrid w:val="0"/>
        <w:spacing w:line="660" w:lineRule="exact"/>
        <w:textAlignment w:val="auto"/>
        <w:rPr>
          <w:rFonts w:hint="eastAsia" w:ascii="仿宋_GB2312" w:hAnsi="仿宋" w:eastAsia="仿宋_GB2312" w:cs="仿宋"/>
          <w:sz w:val="32"/>
          <w:szCs w:val="32"/>
        </w:rPr>
      </w:pPr>
    </w:p>
    <w:p w14:paraId="0B119FD3">
      <w:pPr>
        <w:keepNext w:val="0"/>
        <w:keepLines w:val="0"/>
        <w:pageBreakBefore w:val="0"/>
        <w:widowControl w:val="0"/>
        <w:kinsoku/>
        <w:wordWrap/>
        <w:overflowPunct/>
        <w:topLinePunct w:val="0"/>
        <w:autoSpaceDE/>
        <w:autoSpaceDN/>
        <w:bidi w:val="0"/>
        <w:adjustRightInd w:val="0"/>
        <w:snapToGrid w:val="0"/>
        <w:spacing w:line="660" w:lineRule="exact"/>
        <w:textAlignment w:val="auto"/>
        <w:rPr>
          <w:rFonts w:hint="eastAsia" w:ascii="仿宋_GB2312" w:hAnsi="仿宋" w:eastAsia="仿宋_GB2312" w:cs="仿宋"/>
          <w:sz w:val="32"/>
          <w:szCs w:val="32"/>
        </w:rPr>
      </w:pPr>
    </w:p>
    <w:p w14:paraId="3C5964EF">
      <w:pPr>
        <w:keepNext w:val="0"/>
        <w:keepLines w:val="0"/>
        <w:pageBreakBefore w:val="0"/>
        <w:widowControl w:val="0"/>
        <w:kinsoku/>
        <w:wordWrap/>
        <w:overflowPunct/>
        <w:topLinePunct w:val="0"/>
        <w:autoSpaceDE/>
        <w:autoSpaceDN/>
        <w:bidi w:val="0"/>
        <w:adjustRightInd w:val="0"/>
        <w:snapToGrid w:val="0"/>
        <w:spacing w:line="660" w:lineRule="exact"/>
        <w:textAlignment w:val="auto"/>
        <w:rPr>
          <w:rFonts w:hint="eastAsia" w:ascii="宋体" w:eastAsia="仿宋_GB2312" w:cs="宋体"/>
          <w:sz w:val="32"/>
          <w:szCs w:val="32"/>
          <w:lang w:eastAsia="zh-CN"/>
        </w:rPr>
      </w:pPr>
      <w:r>
        <w:rPr>
          <w:rFonts w:hint="eastAsia" w:ascii="仿宋_GB2312" w:hAnsi="仿宋" w:eastAsia="仿宋_GB2312" w:cs="仿宋"/>
          <w:sz w:val="32"/>
          <w:szCs w:val="32"/>
        </w:rPr>
        <w:t>附表</w:t>
      </w:r>
      <w:r>
        <w:rPr>
          <w:rFonts w:hint="eastAsia" w:ascii="仿宋_GB2312" w:hAnsi="仿宋" w:eastAsia="仿宋_GB2312" w:cs="仿宋"/>
          <w:sz w:val="32"/>
          <w:szCs w:val="32"/>
          <w:lang w:eastAsia="zh-CN"/>
        </w:rPr>
        <w:t>五</w:t>
      </w:r>
    </w:p>
    <w:p w14:paraId="170C933F">
      <w:pPr>
        <w:pStyle w:val="8"/>
        <w:keepNext w:val="0"/>
        <w:keepLines w:val="0"/>
        <w:pageBreakBefore w:val="0"/>
        <w:widowControl w:val="0"/>
        <w:kinsoku/>
        <w:wordWrap/>
        <w:overflowPunct/>
        <w:topLinePunct w:val="0"/>
        <w:autoSpaceDE/>
        <w:autoSpaceDN/>
        <w:bidi w:val="0"/>
        <w:adjustRightInd w:val="0"/>
        <w:snapToGrid w:val="0"/>
        <w:spacing w:after="0" w:line="560" w:lineRule="exact"/>
        <w:jc w:val="center"/>
        <w:textAlignment w:val="auto"/>
        <w:rPr>
          <w:rFonts w:hint="eastAsia" w:ascii="仿宋" w:hAnsi="仿宋" w:eastAsia="仿宋" w:cs="仿宋"/>
          <w:sz w:val="40"/>
          <w:szCs w:val="40"/>
        </w:rPr>
      </w:pPr>
      <w:r>
        <w:rPr>
          <w:rFonts w:hint="eastAsia" w:ascii="黑体" w:hAnsi="黑体" w:eastAsia="黑体" w:cs="黑体"/>
          <w:bCs/>
          <w:sz w:val="40"/>
          <w:szCs w:val="40"/>
          <w:highlight w:val="none"/>
        </w:rPr>
        <w:t>西峡县202</w:t>
      </w:r>
      <w:r>
        <w:rPr>
          <w:rFonts w:hint="eastAsia" w:ascii="黑体" w:hAnsi="黑体" w:eastAsia="黑体" w:cs="黑体"/>
          <w:bCs/>
          <w:sz w:val="40"/>
          <w:szCs w:val="40"/>
          <w:highlight w:val="none"/>
          <w:lang w:val="en-US" w:eastAsia="zh-CN"/>
        </w:rPr>
        <w:t>5</w:t>
      </w:r>
      <w:r>
        <w:rPr>
          <w:rFonts w:hint="eastAsia" w:ascii="黑体" w:hAnsi="黑体" w:eastAsia="黑体" w:cs="黑体"/>
          <w:bCs/>
          <w:sz w:val="40"/>
          <w:szCs w:val="40"/>
          <w:highlight w:val="none"/>
        </w:rPr>
        <w:t>年上级专项追加支出情况表</w:t>
      </w:r>
      <w:r>
        <w:rPr>
          <w:rFonts w:hint="eastAsia" w:ascii="黑体" w:hAnsi="黑体" w:eastAsia="黑体" w:cs="黑体"/>
          <w:bCs/>
          <w:sz w:val="40"/>
          <w:szCs w:val="40"/>
          <w:highlight w:val="none"/>
          <w:lang w:eastAsia="zh-CN"/>
        </w:rPr>
        <w:t>（草案）</w:t>
      </w:r>
    </w:p>
    <w:p w14:paraId="13EE8D2D">
      <w:pPr>
        <w:keepNext w:val="0"/>
        <w:keepLines w:val="0"/>
        <w:pageBreakBefore w:val="0"/>
        <w:widowControl w:val="0"/>
        <w:kinsoku/>
        <w:wordWrap/>
        <w:overflowPunct/>
        <w:topLinePunct w:val="0"/>
        <w:autoSpaceDE/>
        <w:autoSpaceDN/>
        <w:bidi w:val="0"/>
        <w:adjustRightInd w:val="0"/>
        <w:snapToGrid w:val="0"/>
        <w:spacing w:line="560" w:lineRule="exact"/>
        <w:ind w:firstLine="7040" w:firstLineChars="2200"/>
        <w:textAlignment w:val="auto"/>
        <w:rPr>
          <w:rFonts w:ascii="仿宋_GB2312" w:hAnsi="仿宋" w:eastAsia="仿宋_GB2312" w:cs="仿宋"/>
          <w:sz w:val="32"/>
          <w:szCs w:val="32"/>
        </w:rPr>
      </w:pPr>
      <w:r>
        <w:rPr>
          <w:rFonts w:hint="eastAsia" w:ascii="仿宋_GB2312" w:hAnsi="仿宋" w:eastAsia="仿宋_GB2312" w:cs="仿宋"/>
          <w:sz w:val="32"/>
          <w:szCs w:val="32"/>
        </w:rPr>
        <w:t>单位</w:t>
      </w:r>
      <w:r>
        <w:rPr>
          <w:rFonts w:ascii="仿宋_GB2312" w:hAnsi="仿宋" w:eastAsia="仿宋_GB2312" w:cs="仿宋"/>
          <w:sz w:val="32"/>
          <w:szCs w:val="32"/>
        </w:rPr>
        <w:t>:</w:t>
      </w:r>
      <w:r>
        <w:rPr>
          <w:rFonts w:hint="eastAsia" w:ascii="仿宋_GB2312" w:hAnsi="仿宋" w:eastAsia="仿宋_GB2312" w:cs="仿宋"/>
          <w:sz w:val="32"/>
          <w:szCs w:val="32"/>
        </w:rPr>
        <w:t>万元</w:t>
      </w:r>
    </w:p>
    <w:tbl>
      <w:tblPr>
        <w:tblStyle w:val="13"/>
        <w:tblW w:w="89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0"/>
        <w:gridCol w:w="3488"/>
        <w:gridCol w:w="2810"/>
      </w:tblGrid>
      <w:tr w14:paraId="63CD3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2640" w:type="dxa"/>
            <w:vAlign w:val="center"/>
          </w:tcPr>
          <w:p w14:paraId="5A6AE688">
            <w:pPr>
              <w:keepNext w:val="0"/>
              <w:keepLines w:val="0"/>
              <w:widowControl/>
              <w:suppressLineNumbers w:val="0"/>
              <w:jc w:val="center"/>
              <w:textAlignment w:val="center"/>
              <w:rPr>
                <w:rFonts w:hint="eastAsia" w:ascii="黑体" w:hAnsi="黑体" w:eastAsia="黑体" w:cs="黑体"/>
                <w:bCs/>
                <w:sz w:val="28"/>
                <w:szCs w:val="28"/>
              </w:rPr>
            </w:pPr>
            <w:r>
              <w:rPr>
                <w:rFonts w:hint="eastAsia" w:ascii="黑体" w:hAnsi="黑体" w:eastAsia="黑体" w:cs="黑体"/>
                <w:i w:val="0"/>
                <w:iCs w:val="0"/>
                <w:color w:val="000000"/>
                <w:kern w:val="0"/>
                <w:sz w:val="28"/>
                <w:szCs w:val="28"/>
                <w:u w:val="none"/>
                <w:lang w:val="en-US" w:eastAsia="zh-CN" w:bidi="ar"/>
              </w:rPr>
              <w:t>科目编码</w:t>
            </w:r>
          </w:p>
        </w:tc>
        <w:tc>
          <w:tcPr>
            <w:tcW w:w="3488" w:type="dxa"/>
            <w:vAlign w:val="center"/>
          </w:tcPr>
          <w:p w14:paraId="5351C1A9">
            <w:pPr>
              <w:keepNext w:val="0"/>
              <w:keepLines w:val="0"/>
              <w:widowControl/>
              <w:suppressLineNumbers w:val="0"/>
              <w:jc w:val="center"/>
              <w:textAlignment w:val="center"/>
              <w:rPr>
                <w:rFonts w:hint="eastAsia" w:ascii="黑体" w:hAnsi="黑体" w:eastAsia="黑体" w:cs="黑体"/>
                <w:bCs/>
                <w:sz w:val="28"/>
                <w:szCs w:val="28"/>
              </w:rPr>
            </w:pPr>
            <w:r>
              <w:rPr>
                <w:rFonts w:hint="eastAsia" w:ascii="黑体" w:hAnsi="黑体" w:eastAsia="黑体" w:cs="黑体"/>
                <w:i w:val="0"/>
                <w:iCs w:val="0"/>
                <w:color w:val="000000"/>
                <w:kern w:val="0"/>
                <w:sz w:val="28"/>
                <w:szCs w:val="28"/>
                <w:u w:val="none"/>
                <w:lang w:val="en-US" w:eastAsia="zh-CN" w:bidi="ar"/>
              </w:rPr>
              <w:t>科目名称</w:t>
            </w:r>
          </w:p>
        </w:tc>
        <w:tc>
          <w:tcPr>
            <w:tcW w:w="2810" w:type="dxa"/>
            <w:vAlign w:val="center"/>
          </w:tcPr>
          <w:p w14:paraId="4C266CDC">
            <w:pPr>
              <w:keepNext w:val="0"/>
              <w:keepLines w:val="0"/>
              <w:widowControl/>
              <w:suppressLineNumbers w:val="0"/>
              <w:jc w:val="center"/>
              <w:textAlignment w:val="center"/>
              <w:rPr>
                <w:rFonts w:hint="eastAsia" w:ascii="黑体" w:hAnsi="黑体" w:eastAsia="黑体" w:cs="黑体"/>
                <w:bCs/>
                <w:sz w:val="28"/>
                <w:szCs w:val="28"/>
              </w:rPr>
            </w:pPr>
            <w:r>
              <w:rPr>
                <w:rFonts w:hint="eastAsia" w:ascii="黑体" w:hAnsi="黑体" w:eastAsia="黑体" w:cs="黑体"/>
                <w:i w:val="0"/>
                <w:iCs w:val="0"/>
                <w:color w:val="000000"/>
                <w:kern w:val="0"/>
                <w:sz w:val="28"/>
                <w:szCs w:val="28"/>
                <w:u w:val="none"/>
                <w:lang w:val="en-US" w:eastAsia="zh-CN" w:bidi="ar"/>
              </w:rPr>
              <w:t>决算数</w:t>
            </w:r>
          </w:p>
        </w:tc>
      </w:tr>
      <w:tr w14:paraId="75C82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2640" w:type="dxa"/>
            <w:vAlign w:val="center"/>
          </w:tcPr>
          <w:p w14:paraId="4800A09B">
            <w:pPr>
              <w:jc w:val="center"/>
              <w:rPr>
                <w:rFonts w:hint="eastAsia" w:ascii="仿宋_GB2312" w:hAnsi="仿宋_GB2312" w:eastAsia="仿宋_GB2312" w:cs="仿宋_GB2312"/>
                <w:sz w:val="28"/>
                <w:szCs w:val="28"/>
              </w:rPr>
            </w:pPr>
          </w:p>
        </w:tc>
        <w:tc>
          <w:tcPr>
            <w:tcW w:w="3488" w:type="dxa"/>
            <w:vAlign w:val="center"/>
          </w:tcPr>
          <w:p w14:paraId="25AC6ABA">
            <w:pPr>
              <w:keepNext w:val="0"/>
              <w:keepLines w:val="0"/>
              <w:widowControl/>
              <w:suppressLineNumbers w:val="0"/>
              <w:jc w:val="center"/>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合计</w:t>
            </w:r>
          </w:p>
        </w:tc>
        <w:tc>
          <w:tcPr>
            <w:tcW w:w="2810" w:type="dxa"/>
            <w:vAlign w:val="center"/>
          </w:tcPr>
          <w:p w14:paraId="4C838D17">
            <w:pPr>
              <w:keepNext w:val="0"/>
              <w:keepLines w:val="0"/>
              <w:widowControl/>
              <w:suppressLineNumbers w:val="0"/>
              <w:jc w:val="both"/>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 xml:space="preserve">127629 </w:t>
            </w:r>
          </w:p>
        </w:tc>
      </w:tr>
      <w:tr w14:paraId="6749D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2640" w:type="dxa"/>
            <w:vAlign w:val="center"/>
          </w:tcPr>
          <w:p w14:paraId="559EA37F">
            <w:pPr>
              <w:keepNext w:val="0"/>
              <w:keepLines w:val="0"/>
              <w:widowControl/>
              <w:suppressLineNumbers w:val="0"/>
              <w:jc w:val="left"/>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201</w:t>
            </w:r>
          </w:p>
        </w:tc>
        <w:tc>
          <w:tcPr>
            <w:tcW w:w="3488" w:type="dxa"/>
            <w:vAlign w:val="center"/>
          </w:tcPr>
          <w:p w14:paraId="14497B60">
            <w:pPr>
              <w:keepNext w:val="0"/>
              <w:keepLines w:val="0"/>
              <w:widowControl/>
              <w:suppressLineNumbers w:val="0"/>
              <w:jc w:val="left"/>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一般公共服务</w:t>
            </w:r>
          </w:p>
        </w:tc>
        <w:tc>
          <w:tcPr>
            <w:tcW w:w="2810" w:type="dxa"/>
            <w:vAlign w:val="center"/>
          </w:tcPr>
          <w:p w14:paraId="6BB700AA">
            <w:pPr>
              <w:keepNext w:val="0"/>
              <w:keepLines w:val="0"/>
              <w:widowControl/>
              <w:suppressLineNumbers w:val="0"/>
              <w:jc w:val="both"/>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 xml:space="preserve">179 </w:t>
            </w:r>
          </w:p>
        </w:tc>
      </w:tr>
      <w:tr w14:paraId="25F70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2640" w:type="dxa"/>
            <w:vAlign w:val="center"/>
          </w:tcPr>
          <w:p w14:paraId="3BEE0AF2">
            <w:pPr>
              <w:keepNext w:val="0"/>
              <w:keepLines w:val="0"/>
              <w:widowControl/>
              <w:suppressLineNumbers w:val="0"/>
              <w:jc w:val="left"/>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203</w:t>
            </w:r>
          </w:p>
        </w:tc>
        <w:tc>
          <w:tcPr>
            <w:tcW w:w="3488" w:type="dxa"/>
            <w:vAlign w:val="center"/>
          </w:tcPr>
          <w:p w14:paraId="590A64C7">
            <w:pPr>
              <w:keepNext w:val="0"/>
              <w:keepLines w:val="0"/>
              <w:widowControl/>
              <w:suppressLineNumbers w:val="0"/>
              <w:jc w:val="left"/>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国防支出</w:t>
            </w:r>
          </w:p>
        </w:tc>
        <w:tc>
          <w:tcPr>
            <w:tcW w:w="2810" w:type="dxa"/>
            <w:vAlign w:val="center"/>
          </w:tcPr>
          <w:p w14:paraId="04DE7095">
            <w:pPr>
              <w:keepNext w:val="0"/>
              <w:keepLines w:val="0"/>
              <w:widowControl/>
              <w:suppressLineNumbers w:val="0"/>
              <w:jc w:val="both"/>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 xml:space="preserve">62 </w:t>
            </w:r>
          </w:p>
        </w:tc>
      </w:tr>
      <w:tr w14:paraId="6512C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2640" w:type="dxa"/>
            <w:vAlign w:val="center"/>
          </w:tcPr>
          <w:p w14:paraId="474BE505">
            <w:pPr>
              <w:keepNext w:val="0"/>
              <w:keepLines w:val="0"/>
              <w:widowControl/>
              <w:suppressLineNumbers w:val="0"/>
              <w:jc w:val="left"/>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204</w:t>
            </w:r>
          </w:p>
        </w:tc>
        <w:tc>
          <w:tcPr>
            <w:tcW w:w="3488" w:type="dxa"/>
            <w:vAlign w:val="center"/>
          </w:tcPr>
          <w:p w14:paraId="12BD0440">
            <w:pPr>
              <w:keepNext w:val="0"/>
              <w:keepLines w:val="0"/>
              <w:widowControl/>
              <w:suppressLineNumbers w:val="0"/>
              <w:jc w:val="left"/>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公共安全</w:t>
            </w:r>
          </w:p>
        </w:tc>
        <w:tc>
          <w:tcPr>
            <w:tcW w:w="2810" w:type="dxa"/>
            <w:vAlign w:val="center"/>
          </w:tcPr>
          <w:p w14:paraId="0C75CAA1">
            <w:pPr>
              <w:keepNext w:val="0"/>
              <w:keepLines w:val="0"/>
              <w:widowControl/>
              <w:suppressLineNumbers w:val="0"/>
              <w:jc w:val="both"/>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 xml:space="preserve">2273 </w:t>
            </w:r>
          </w:p>
        </w:tc>
      </w:tr>
      <w:tr w14:paraId="3ACEF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2640" w:type="dxa"/>
            <w:vAlign w:val="center"/>
          </w:tcPr>
          <w:p w14:paraId="013EDB2C">
            <w:pPr>
              <w:keepNext w:val="0"/>
              <w:keepLines w:val="0"/>
              <w:widowControl/>
              <w:suppressLineNumbers w:val="0"/>
              <w:jc w:val="left"/>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205</w:t>
            </w:r>
          </w:p>
        </w:tc>
        <w:tc>
          <w:tcPr>
            <w:tcW w:w="3488" w:type="dxa"/>
            <w:vAlign w:val="center"/>
          </w:tcPr>
          <w:p w14:paraId="345CA6CD">
            <w:pPr>
              <w:keepNext w:val="0"/>
              <w:keepLines w:val="0"/>
              <w:widowControl/>
              <w:suppressLineNumbers w:val="0"/>
              <w:jc w:val="left"/>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教育</w:t>
            </w:r>
          </w:p>
        </w:tc>
        <w:tc>
          <w:tcPr>
            <w:tcW w:w="2810" w:type="dxa"/>
            <w:vAlign w:val="center"/>
          </w:tcPr>
          <w:p w14:paraId="766A5731">
            <w:pPr>
              <w:keepNext w:val="0"/>
              <w:keepLines w:val="0"/>
              <w:widowControl/>
              <w:suppressLineNumbers w:val="0"/>
              <w:jc w:val="both"/>
              <w:textAlignment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29578</w:t>
            </w:r>
          </w:p>
        </w:tc>
      </w:tr>
      <w:tr w14:paraId="154F6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2640" w:type="dxa"/>
            <w:vAlign w:val="center"/>
          </w:tcPr>
          <w:p w14:paraId="5FCB256D">
            <w:pPr>
              <w:keepNext w:val="0"/>
              <w:keepLines w:val="0"/>
              <w:widowControl/>
              <w:suppressLineNumbers w:val="0"/>
              <w:jc w:val="left"/>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206</w:t>
            </w:r>
          </w:p>
        </w:tc>
        <w:tc>
          <w:tcPr>
            <w:tcW w:w="3488" w:type="dxa"/>
            <w:vAlign w:val="center"/>
          </w:tcPr>
          <w:p w14:paraId="4A0B3630">
            <w:pPr>
              <w:keepNext w:val="0"/>
              <w:keepLines w:val="0"/>
              <w:widowControl/>
              <w:suppressLineNumbers w:val="0"/>
              <w:jc w:val="left"/>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科学技术</w:t>
            </w:r>
          </w:p>
        </w:tc>
        <w:tc>
          <w:tcPr>
            <w:tcW w:w="2810" w:type="dxa"/>
            <w:vAlign w:val="center"/>
          </w:tcPr>
          <w:p w14:paraId="325C11A8">
            <w:pPr>
              <w:keepNext w:val="0"/>
              <w:keepLines w:val="0"/>
              <w:widowControl/>
              <w:suppressLineNumbers w:val="0"/>
              <w:jc w:val="both"/>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 xml:space="preserve">672 </w:t>
            </w:r>
          </w:p>
        </w:tc>
      </w:tr>
      <w:tr w14:paraId="62279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2640" w:type="dxa"/>
            <w:vAlign w:val="center"/>
          </w:tcPr>
          <w:p w14:paraId="6E635A37">
            <w:pPr>
              <w:keepNext w:val="0"/>
              <w:keepLines w:val="0"/>
              <w:widowControl/>
              <w:suppressLineNumbers w:val="0"/>
              <w:jc w:val="left"/>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207</w:t>
            </w:r>
          </w:p>
        </w:tc>
        <w:tc>
          <w:tcPr>
            <w:tcW w:w="3488" w:type="dxa"/>
            <w:vAlign w:val="center"/>
          </w:tcPr>
          <w:p w14:paraId="203A4C0C">
            <w:pPr>
              <w:keepNext w:val="0"/>
              <w:keepLines w:val="0"/>
              <w:widowControl/>
              <w:suppressLineNumbers w:val="0"/>
              <w:jc w:val="left"/>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文化旅游体育与传媒</w:t>
            </w:r>
          </w:p>
        </w:tc>
        <w:tc>
          <w:tcPr>
            <w:tcW w:w="2810" w:type="dxa"/>
            <w:vAlign w:val="center"/>
          </w:tcPr>
          <w:p w14:paraId="2D437BE6">
            <w:pPr>
              <w:keepNext w:val="0"/>
              <w:keepLines w:val="0"/>
              <w:widowControl/>
              <w:suppressLineNumbers w:val="0"/>
              <w:jc w:val="both"/>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 xml:space="preserve">1326 </w:t>
            </w:r>
          </w:p>
        </w:tc>
      </w:tr>
      <w:tr w14:paraId="11AFE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2640" w:type="dxa"/>
            <w:vAlign w:val="center"/>
          </w:tcPr>
          <w:p w14:paraId="3377D84B">
            <w:pPr>
              <w:keepNext w:val="0"/>
              <w:keepLines w:val="0"/>
              <w:widowControl/>
              <w:suppressLineNumbers w:val="0"/>
              <w:jc w:val="left"/>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208</w:t>
            </w:r>
          </w:p>
        </w:tc>
        <w:tc>
          <w:tcPr>
            <w:tcW w:w="3488" w:type="dxa"/>
            <w:vAlign w:val="center"/>
          </w:tcPr>
          <w:p w14:paraId="18879ADB">
            <w:pPr>
              <w:keepNext w:val="0"/>
              <w:keepLines w:val="0"/>
              <w:widowControl/>
              <w:suppressLineNumbers w:val="0"/>
              <w:jc w:val="left"/>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社会保障和就业</w:t>
            </w:r>
          </w:p>
        </w:tc>
        <w:tc>
          <w:tcPr>
            <w:tcW w:w="2810" w:type="dxa"/>
            <w:vAlign w:val="center"/>
          </w:tcPr>
          <w:p w14:paraId="5D6F7673">
            <w:pPr>
              <w:keepNext w:val="0"/>
              <w:keepLines w:val="0"/>
              <w:widowControl/>
              <w:suppressLineNumbers w:val="0"/>
              <w:jc w:val="both"/>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 xml:space="preserve">12071 </w:t>
            </w:r>
          </w:p>
        </w:tc>
      </w:tr>
      <w:tr w14:paraId="101EC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2640" w:type="dxa"/>
            <w:vAlign w:val="center"/>
          </w:tcPr>
          <w:p w14:paraId="765CAF07">
            <w:pPr>
              <w:keepNext w:val="0"/>
              <w:keepLines w:val="0"/>
              <w:widowControl/>
              <w:suppressLineNumbers w:val="0"/>
              <w:jc w:val="left"/>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210</w:t>
            </w:r>
          </w:p>
        </w:tc>
        <w:tc>
          <w:tcPr>
            <w:tcW w:w="3488" w:type="dxa"/>
            <w:vAlign w:val="center"/>
          </w:tcPr>
          <w:p w14:paraId="0BE10F37">
            <w:pPr>
              <w:keepNext w:val="0"/>
              <w:keepLines w:val="0"/>
              <w:widowControl/>
              <w:suppressLineNumbers w:val="0"/>
              <w:jc w:val="left"/>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医疗卫生</w:t>
            </w:r>
          </w:p>
        </w:tc>
        <w:tc>
          <w:tcPr>
            <w:tcW w:w="2810" w:type="dxa"/>
            <w:vAlign w:val="center"/>
          </w:tcPr>
          <w:p w14:paraId="021147C5">
            <w:pPr>
              <w:keepNext w:val="0"/>
              <w:keepLines w:val="0"/>
              <w:widowControl/>
              <w:suppressLineNumbers w:val="0"/>
              <w:jc w:val="both"/>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 xml:space="preserve">10824 </w:t>
            </w:r>
          </w:p>
        </w:tc>
      </w:tr>
      <w:tr w14:paraId="62D35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2640" w:type="dxa"/>
            <w:vAlign w:val="center"/>
          </w:tcPr>
          <w:p w14:paraId="6F736473">
            <w:pPr>
              <w:keepNext w:val="0"/>
              <w:keepLines w:val="0"/>
              <w:widowControl/>
              <w:suppressLineNumbers w:val="0"/>
              <w:jc w:val="left"/>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211</w:t>
            </w:r>
          </w:p>
        </w:tc>
        <w:tc>
          <w:tcPr>
            <w:tcW w:w="3488" w:type="dxa"/>
            <w:vAlign w:val="center"/>
          </w:tcPr>
          <w:p w14:paraId="2AAEDE2E">
            <w:pPr>
              <w:keepNext w:val="0"/>
              <w:keepLines w:val="0"/>
              <w:widowControl/>
              <w:suppressLineNumbers w:val="0"/>
              <w:jc w:val="left"/>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节能环保</w:t>
            </w:r>
          </w:p>
        </w:tc>
        <w:tc>
          <w:tcPr>
            <w:tcW w:w="2810" w:type="dxa"/>
            <w:vAlign w:val="center"/>
          </w:tcPr>
          <w:p w14:paraId="185272AC">
            <w:pPr>
              <w:keepNext w:val="0"/>
              <w:keepLines w:val="0"/>
              <w:widowControl/>
              <w:suppressLineNumbers w:val="0"/>
              <w:jc w:val="both"/>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 xml:space="preserve">20822 </w:t>
            </w:r>
          </w:p>
        </w:tc>
      </w:tr>
      <w:tr w14:paraId="15006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2640" w:type="dxa"/>
            <w:vAlign w:val="center"/>
          </w:tcPr>
          <w:p w14:paraId="702C0BC8">
            <w:pPr>
              <w:keepNext w:val="0"/>
              <w:keepLines w:val="0"/>
              <w:widowControl/>
              <w:suppressLineNumbers w:val="0"/>
              <w:jc w:val="left"/>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212</w:t>
            </w:r>
          </w:p>
        </w:tc>
        <w:tc>
          <w:tcPr>
            <w:tcW w:w="3488" w:type="dxa"/>
            <w:vAlign w:val="center"/>
          </w:tcPr>
          <w:p w14:paraId="737BF4D7">
            <w:pPr>
              <w:keepNext w:val="0"/>
              <w:keepLines w:val="0"/>
              <w:widowControl/>
              <w:suppressLineNumbers w:val="0"/>
              <w:jc w:val="left"/>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城乡社区支出</w:t>
            </w:r>
          </w:p>
        </w:tc>
        <w:tc>
          <w:tcPr>
            <w:tcW w:w="2810" w:type="dxa"/>
            <w:vAlign w:val="center"/>
          </w:tcPr>
          <w:p w14:paraId="16EDAABF">
            <w:pPr>
              <w:keepNext w:val="0"/>
              <w:keepLines w:val="0"/>
              <w:widowControl/>
              <w:suppressLineNumbers w:val="0"/>
              <w:jc w:val="both"/>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 xml:space="preserve">77 </w:t>
            </w:r>
          </w:p>
        </w:tc>
      </w:tr>
      <w:tr w14:paraId="13F64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2640" w:type="dxa"/>
            <w:vAlign w:val="center"/>
          </w:tcPr>
          <w:p w14:paraId="26D5FD49">
            <w:pPr>
              <w:keepNext w:val="0"/>
              <w:keepLines w:val="0"/>
              <w:widowControl/>
              <w:suppressLineNumbers w:val="0"/>
              <w:jc w:val="left"/>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213</w:t>
            </w:r>
          </w:p>
        </w:tc>
        <w:tc>
          <w:tcPr>
            <w:tcW w:w="3488" w:type="dxa"/>
            <w:vAlign w:val="center"/>
          </w:tcPr>
          <w:p w14:paraId="1E2BDF67">
            <w:pPr>
              <w:keepNext w:val="0"/>
              <w:keepLines w:val="0"/>
              <w:widowControl/>
              <w:suppressLineNumbers w:val="0"/>
              <w:jc w:val="left"/>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农林水</w:t>
            </w:r>
          </w:p>
        </w:tc>
        <w:tc>
          <w:tcPr>
            <w:tcW w:w="2810" w:type="dxa"/>
            <w:vAlign w:val="center"/>
          </w:tcPr>
          <w:p w14:paraId="7E6E94B1">
            <w:pPr>
              <w:keepNext w:val="0"/>
              <w:keepLines w:val="0"/>
              <w:widowControl/>
              <w:suppressLineNumbers w:val="0"/>
              <w:jc w:val="both"/>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 xml:space="preserve">36860 </w:t>
            </w:r>
          </w:p>
        </w:tc>
      </w:tr>
      <w:tr w14:paraId="58248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2640" w:type="dxa"/>
            <w:vAlign w:val="center"/>
          </w:tcPr>
          <w:p w14:paraId="61355AB7">
            <w:pPr>
              <w:keepNext w:val="0"/>
              <w:keepLines w:val="0"/>
              <w:widowControl/>
              <w:suppressLineNumbers w:val="0"/>
              <w:jc w:val="left"/>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214</w:t>
            </w:r>
          </w:p>
        </w:tc>
        <w:tc>
          <w:tcPr>
            <w:tcW w:w="3488" w:type="dxa"/>
            <w:vAlign w:val="center"/>
          </w:tcPr>
          <w:p w14:paraId="4B3D19A1">
            <w:pPr>
              <w:keepNext w:val="0"/>
              <w:keepLines w:val="0"/>
              <w:widowControl/>
              <w:suppressLineNumbers w:val="0"/>
              <w:jc w:val="left"/>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交通运输</w:t>
            </w:r>
          </w:p>
        </w:tc>
        <w:tc>
          <w:tcPr>
            <w:tcW w:w="2810" w:type="dxa"/>
            <w:vAlign w:val="center"/>
          </w:tcPr>
          <w:p w14:paraId="583F005E">
            <w:pPr>
              <w:keepNext w:val="0"/>
              <w:keepLines w:val="0"/>
              <w:widowControl/>
              <w:suppressLineNumbers w:val="0"/>
              <w:jc w:val="both"/>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 xml:space="preserve">8068 </w:t>
            </w:r>
          </w:p>
        </w:tc>
      </w:tr>
      <w:tr w14:paraId="4A6CE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2640" w:type="dxa"/>
            <w:vAlign w:val="center"/>
          </w:tcPr>
          <w:p w14:paraId="348A2798">
            <w:pPr>
              <w:keepNext w:val="0"/>
              <w:keepLines w:val="0"/>
              <w:widowControl/>
              <w:suppressLineNumbers w:val="0"/>
              <w:jc w:val="left"/>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215</w:t>
            </w:r>
          </w:p>
        </w:tc>
        <w:tc>
          <w:tcPr>
            <w:tcW w:w="3488" w:type="dxa"/>
            <w:vAlign w:val="center"/>
          </w:tcPr>
          <w:p w14:paraId="0B7E09B3">
            <w:pPr>
              <w:keepNext w:val="0"/>
              <w:keepLines w:val="0"/>
              <w:widowControl/>
              <w:suppressLineNumbers w:val="0"/>
              <w:jc w:val="left"/>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资源勘探工业信息</w:t>
            </w:r>
          </w:p>
        </w:tc>
        <w:tc>
          <w:tcPr>
            <w:tcW w:w="2810" w:type="dxa"/>
            <w:vAlign w:val="center"/>
          </w:tcPr>
          <w:p w14:paraId="525E598C">
            <w:pPr>
              <w:keepNext w:val="0"/>
              <w:keepLines w:val="0"/>
              <w:widowControl/>
              <w:suppressLineNumbers w:val="0"/>
              <w:jc w:val="both"/>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 xml:space="preserve">501 </w:t>
            </w:r>
          </w:p>
        </w:tc>
      </w:tr>
      <w:tr w14:paraId="1D4BA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2640" w:type="dxa"/>
            <w:vAlign w:val="center"/>
          </w:tcPr>
          <w:p w14:paraId="35E16F82">
            <w:pPr>
              <w:keepNext w:val="0"/>
              <w:keepLines w:val="0"/>
              <w:widowControl/>
              <w:suppressLineNumbers w:val="0"/>
              <w:jc w:val="left"/>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220</w:t>
            </w:r>
          </w:p>
        </w:tc>
        <w:tc>
          <w:tcPr>
            <w:tcW w:w="3488" w:type="dxa"/>
            <w:vAlign w:val="center"/>
          </w:tcPr>
          <w:p w14:paraId="67A5F673">
            <w:pPr>
              <w:keepNext w:val="0"/>
              <w:keepLines w:val="0"/>
              <w:widowControl/>
              <w:suppressLineNumbers w:val="0"/>
              <w:jc w:val="left"/>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国土海洋气象</w:t>
            </w:r>
          </w:p>
        </w:tc>
        <w:tc>
          <w:tcPr>
            <w:tcW w:w="2810" w:type="dxa"/>
            <w:vAlign w:val="center"/>
          </w:tcPr>
          <w:p w14:paraId="6D1B84A7">
            <w:pPr>
              <w:keepNext w:val="0"/>
              <w:keepLines w:val="0"/>
              <w:widowControl/>
              <w:suppressLineNumbers w:val="0"/>
              <w:jc w:val="both"/>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 xml:space="preserve">481 </w:t>
            </w:r>
          </w:p>
        </w:tc>
      </w:tr>
      <w:tr w14:paraId="52018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2640" w:type="dxa"/>
            <w:vAlign w:val="center"/>
          </w:tcPr>
          <w:p w14:paraId="05949A92">
            <w:pPr>
              <w:keepNext w:val="0"/>
              <w:keepLines w:val="0"/>
              <w:widowControl/>
              <w:suppressLineNumbers w:val="0"/>
              <w:jc w:val="left"/>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221</w:t>
            </w:r>
          </w:p>
        </w:tc>
        <w:tc>
          <w:tcPr>
            <w:tcW w:w="3488" w:type="dxa"/>
            <w:vAlign w:val="center"/>
          </w:tcPr>
          <w:p w14:paraId="6ABDCDBF">
            <w:pPr>
              <w:keepNext w:val="0"/>
              <w:keepLines w:val="0"/>
              <w:widowControl/>
              <w:suppressLineNumbers w:val="0"/>
              <w:jc w:val="left"/>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住房保障支出</w:t>
            </w:r>
          </w:p>
        </w:tc>
        <w:tc>
          <w:tcPr>
            <w:tcW w:w="2810" w:type="dxa"/>
            <w:vAlign w:val="center"/>
          </w:tcPr>
          <w:p w14:paraId="251F7B68">
            <w:pPr>
              <w:keepNext w:val="0"/>
              <w:keepLines w:val="0"/>
              <w:widowControl/>
              <w:suppressLineNumbers w:val="0"/>
              <w:jc w:val="both"/>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 xml:space="preserve">1833 </w:t>
            </w:r>
          </w:p>
        </w:tc>
      </w:tr>
      <w:tr w14:paraId="05C78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640" w:type="dxa"/>
            <w:vAlign w:val="center"/>
          </w:tcPr>
          <w:p w14:paraId="3E940D2D">
            <w:pPr>
              <w:keepNext w:val="0"/>
              <w:keepLines w:val="0"/>
              <w:widowControl/>
              <w:suppressLineNumbers w:val="0"/>
              <w:jc w:val="left"/>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224</w:t>
            </w:r>
          </w:p>
        </w:tc>
        <w:tc>
          <w:tcPr>
            <w:tcW w:w="3488" w:type="dxa"/>
            <w:vAlign w:val="center"/>
          </w:tcPr>
          <w:p w14:paraId="2525F1B4">
            <w:pPr>
              <w:keepNext w:val="0"/>
              <w:keepLines w:val="0"/>
              <w:widowControl/>
              <w:suppressLineNumbers w:val="0"/>
              <w:jc w:val="left"/>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灾害防治及应急管理支出</w:t>
            </w:r>
          </w:p>
        </w:tc>
        <w:tc>
          <w:tcPr>
            <w:tcW w:w="2810" w:type="dxa"/>
            <w:vAlign w:val="center"/>
          </w:tcPr>
          <w:p w14:paraId="727FD3CE">
            <w:pPr>
              <w:keepNext w:val="0"/>
              <w:keepLines w:val="0"/>
              <w:widowControl/>
              <w:suppressLineNumbers w:val="0"/>
              <w:jc w:val="both"/>
              <w:textAlignment w:val="center"/>
              <w:rPr>
                <w:rFonts w:hint="eastAsia" w:ascii="仿宋_GB2312" w:hAnsi="仿宋_GB2312" w:eastAsia="仿宋_GB2312" w:cs="仿宋_GB2312"/>
                <w:sz w:val="28"/>
                <w:szCs w:val="28"/>
              </w:rPr>
            </w:pPr>
            <w:r>
              <w:rPr>
                <w:rFonts w:hint="eastAsia" w:ascii="仿宋_GB2312" w:hAnsi="仿宋_GB2312" w:eastAsia="仿宋_GB2312" w:cs="仿宋_GB2312"/>
                <w:i w:val="0"/>
                <w:iCs w:val="0"/>
                <w:color w:val="000000"/>
                <w:kern w:val="0"/>
                <w:sz w:val="28"/>
                <w:szCs w:val="28"/>
                <w:u w:val="none"/>
                <w:lang w:val="en-US" w:eastAsia="zh-CN" w:bidi="ar"/>
              </w:rPr>
              <w:t xml:space="preserve">2002 </w:t>
            </w:r>
          </w:p>
        </w:tc>
      </w:tr>
    </w:tbl>
    <w:p w14:paraId="39CED1C4">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ascii="仿宋_GB2312" w:hAnsi="仿宋" w:eastAsia="仿宋_GB2312" w:cs="仿宋"/>
          <w:sz w:val="32"/>
          <w:szCs w:val="32"/>
          <w:highlight w:val="none"/>
          <w:lang w:eastAsia="zh-CN"/>
        </w:rPr>
      </w:pPr>
      <w:r>
        <w:rPr>
          <w:rFonts w:hint="eastAsia" w:ascii="仿宋_GB2312" w:hAnsi="仿宋_GB2312" w:eastAsia="仿宋_GB2312" w:cs="仿宋_GB2312"/>
          <w:sz w:val="32"/>
          <w:szCs w:val="32"/>
          <w:highlight w:val="none"/>
        </w:rPr>
        <w:t>附表</w:t>
      </w:r>
      <w:r>
        <w:rPr>
          <w:rFonts w:hint="eastAsia" w:ascii="仿宋_GB2312" w:hAnsi="仿宋_GB2312" w:eastAsia="仿宋_GB2312" w:cs="仿宋_GB2312"/>
          <w:sz w:val="32"/>
          <w:szCs w:val="32"/>
          <w:highlight w:val="none"/>
          <w:lang w:eastAsia="zh-CN"/>
        </w:rPr>
        <w:t>六</w:t>
      </w:r>
    </w:p>
    <w:p w14:paraId="6DC5CFC7">
      <w:pPr>
        <w:pStyle w:val="8"/>
        <w:keepNext w:val="0"/>
        <w:keepLines w:val="0"/>
        <w:pageBreakBefore w:val="0"/>
        <w:widowControl w:val="0"/>
        <w:kinsoku/>
        <w:wordWrap/>
        <w:overflowPunct/>
        <w:topLinePunct w:val="0"/>
        <w:autoSpaceDE/>
        <w:autoSpaceDN/>
        <w:bidi w:val="0"/>
        <w:adjustRightInd w:val="0"/>
        <w:snapToGrid w:val="0"/>
        <w:spacing w:after="0" w:line="560" w:lineRule="exact"/>
        <w:jc w:val="center"/>
        <w:textAlignment w:val="auto"/>
        <w:rPr>
          <w:rFonts w:hint="eastAsia" w:ascii="黑体" w:hAnsi="黑体" w:eastAsia="黑体" w:cs="黑体"/>
          <w:bCs/>
          <w:snapToGrid w:val="0"/>
          <w:w w:val="100"/>
          <w:kern w:val="0"/>
          <w:sz w:val="36"/>
          <w:szCs w:val="36"/>
          <w:highlight w:val="none"/>
          <w:lang w:eastAsia="zh-CN"/>
        </w:rPr>
      </w:pPr>
      <w:r>
        <w:rPr>
          <w:rFonts w:hint="eastAsia" w:ascii="黑体" w:hAnsi="黑体" w:eastAsia="黑体" w:cs="黑体"/>
          <w:bCs/>
          <w:snapToGrid w:val="0"/>
          <w:w w:val="100"/>
          <w:kern w:val="0"/>
          <w:sz w:val="36"/>
          <w:szCs w:val="36"/>
          <w:highlight w:val="none"/>
        </w:rPr>
        <w:t>西峡县202</w:t>
      </w:r>
      <w:r>
        <w:rPr>
          <w:rFonts w:hint="eastAsia" w:ascii="黑体" w:hAnsi="黑体" w:eastAsia="黑体" w:cs="黑体"/>
          <w:bCs/>
          <w:snapToGrid w:val="0"/>
          <w:w w:val="100"/>
          <w:kern w:val="0"/>
          <w:sz w:val="36"/>
          <w:szCs w:val="36"/>
          <w:highlight w:val="none"/>
          <w:lang w:val="en-US" w:eastAsia="zh-CN"/>
        </w:rPr>
        <w:t>5</w:t>
      </w:r>
      <w:r>
        <w:rPr>
          <w:rFonts w:hint="eastAsia" w:ascii="黑体" w:hAnsi="黑体" w:eastAsia="黑体" w:cs="黑体"/>
          <w:bCs/>
          <w:snapToGrid w:val="0"/>
          <w:w w:val="100"/>
          <w:kern w:val="0"/>
          <w:sz w:val="36"/>
          <w:szCs w:val="36"/>
          <w:highlight w:val="none"/>
        </w:rPr>
        <w:t>年一般公共预算支出科目调剂情况表</w:t>
      </w:r>
      <w:r>
        <w:rPr>
          <w:rFonts w:hint="eastAsia" w:ascii="黑体" w:hAnsi="黑体" w:eastAsia="黑体" w:cs="黑体"/>
          <w:bCs/>
          <w:snapToGrid w:val="0"/>
          <w:w w:val="100"/>
          <w:kern w:val="0"/>
          <w:sz w:val="36"/>
          <w:szCs w:val="36"/>
          <w:highlight w:val="none"/>
          <w:lang w:eastAsia="zh-CN"/>
        </w:rPr>
        <w:t>（草案）</w:t>
      </w:r>
    </w:p>
    <w:p w14:paraId="1F7465F9">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仿宋" w:hAnsi="仿宋" w:eastAsia="仿宋" w:cs="仿宋"/>
          <w:sz w:val="30"/>
          <w:szCs w:val="30"/>
        </w:rPr>
      </w:pPr>
      <w:r>
        <w:rPr>
          <w:rFonts w:hint="eastAsia" w:ascii="仿宋" w:hAnsi="仿宋" w:eastAsia="仿宋" w:cs="仿宋"/>
          <w:bCs/>
          <w:w w:val="90"/>
          <w:sz w:val="44"/>
          <w:szCs w:val="44"/>
        </w:rPr>
        <w:tab/>
      </w:r>
      <w:r>
        <w:rPr>
          <w:rFonts w:hint="eastAsia" w:ascii="仿宋" w:hAnsi="仿宋" w:eastAsia="仿宋" w:cs="仿宋"/>
          <w:bCs/>
          <w:w w:val="90"/>
          <w:sz w:val="44"/>
          <w:szCs w:val="44"/>
        </w:rPr>
        <w:t xml:space="preserve">                                </w:t>
      </w:r>
      <w:r>
        <w:rPr>
          <w:rFonts w:hint="eastAsia" w:ascii="仿宋" w:hAnsi="仿宋" w:eastAsia="仿宋" w:cs="仿宋"/>
          <w:bCs/>
          <w:w w:val="90"/>
          <w:sz w:val="32"/>
          <w:szCs w:val="32"/>
        </w:rPr>
        <w:t xml:space="preserve"> </w:t>
      </w:r>
      <w:r>
        <w:rPr>
          <w:rFonts w:hint="eastAsia" w:ascii="仿宋" w:hAnsi="仿宋" w:eastAsia="仿宋" w:cs="仿宋"/>
          <w:sz w:val="32"/>
          <w:szCs w:val="32"/>
        </w:rPr>
        <w:t>单位:万元</w:t>
      </w:r>
    </w:p>
    <w:tbl>
      <w:tblPr>
        <w:tblStyle w:val="13"/>
        <w:tblW w:w="8718" w:type="dxa"/>
        <w:tblInd w:w="0" w:type="dxa"/>
        <w:tblLayout w:type="fixed"/>
        <w:tblCellMar>
          <w:top w:w="0" w:type="dxa"/>
          <w:left w:w="0" w:type="dxa"/>
          <w:bottom w:w="0" w:type="dxa"/>
          <w:right w:w="0" w:type="dxa"/>
        </w:tblCellMar>
      </w:tblPr>
      <w:tblGrid>
        <w:gridCol w:w="3233"/>
        <w:gridCol w:w="1395"/>
        <w:gridCol w:w="1395"/>
        <w:gridCol w:w="1455"/>
        <w:gridCol w:w="1240"/>
      </w:tblGrid>
      <w:tr w14:paraId="7202C381">
        <w:tblPrEx>
          <w:tblCellMar>
            <w:top w:w="0" w:type="dxa"/>
            <w:left w:w="0" w:type="dxa"/>
            <w:bottom w:w="0" w:type="dxa"/>
            <w:right w:w="0" w:type="dxa"/>
          </w:tblCellMar>
        </w:tblPrEx>
        <w:trPr>
          <w:trHeight w:val="419" w:hRule="atLeast"/>
        </w:trPr>
        <w:tc>
          <w:tcPr>
            <w:tcW w:w="3233" w:type="dxa"/>
            <w:vMerge w:val="restart"/>
            <w:tcBorders>
              <w:top w:val="single" w:color="000000" w:sz="8"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895E0D">
            <w:pPr>
              <w:adjustRightInd w:val="0"/>
              <w:snapToGrid w:val="0"/>
              <w:jc w:val="center"/>
              <w:rPr>
                <w:rFonts w:hint="eastAsia" w:ascii="黑体" w:hAnsi="黑体" w:eastAsia="黑体" w:cs="黑体"/>
                <w:bCs/>
                <w:sz w:val="24"/>
              </w:rPr>
            </w:pPr>
            <w:r>
              <w:rPr>
                <w:rFonts w:hint="eastAsia" w:ascii="黑体" w:hAnsi="黑体" w:eastAsia="黑体" w:cs="黑体"/>
                <w:bCs/>
                <w:sz w:val="24"/>
              </w:rPr>
              <w:t>预算科目</w:t>
            </w:r>
          </w:p>
        </w:tc>
        <w:tc>
          <w:tcPr>
            <w:tcW w:w="1395" w:type="dxa"/>
            <w:vMerge w:val="restart"/>
            <w:tcBorders>
              <w:top w:val="single" w:color="000000" w:sz="8"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83DA29">
            <w:pPr>
              <w:adjustRightInd w:val="0"/>
              <w:snapToGrid w:val="0"/>
              <w:jc w:val="center"/>
              <w:rPr>
                <w:rFonts w:hint="eastAsia" w:ascii="黑体" w:hAnsi="黑体" w:eastAsia="黑体" w:cs="黑体"/>
                <w:bCs/>
                <w:sz w:val="24"/>
              </w:rPr>
            </w:pPr>
            <w:r>
              <w:rPr>
                <w:rFonts w:hint="eastAsia" w:ascii="黑体" w:hAnsi="黑体" w:eastAsia="黑体" w:cs="黑体"/>
                <w:bCs/>
                <w:sz w:val="24"/>
                <w:lang w:eastAsia="zh-CN"/>
              </w:rPr>
              <w:t>预算调整</w:t>
            </w:r>
            <w:r>
              <w:rPr>
                <w:rFonts w:hint="eastAsia" w:ascii="黑体" w:hAnsi="黑体" w:eastAsia="黑体" w:cs="黑体"/>
                <w:bCs/>
                <w:sz w:val="24"/>
              </w:rPr>
              <w:t>数</w:t>
            </w:r>
          </w:p>
        </w:tc>
        <w:tc>
          <w:tcPr>
            <w:tcW w:w="2850" w:type="dxa"/>
            <w:gridSpan w:val="2"/>
            <w:tcBorders>
              <w:top w:val="single" w:color="000000" w:sz="8"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9EAC8C">
            <w:pPr>
              <w:adjustRightInd w:val="0"/>
              <w:snapToGrid w:val="0"/>
              <w:jc w:val="center"/>
              <w:rPr>
                <w:rFonts w:hint="eastAsia" w:ascii="黑体" w:hAnsi="黑体" w:eastAsia="黑体" w:cs="黑体"/>
                <w:bCs/>
                <w:sz w:val="24"/>
              </w:rPr>
            </w:pPr>
            <w:r>
              <w:rPr>
                <w:rFonts w:hint="eastAsia" w:ascii="黑体" w:hAnsi="黑体" w:eastAsia="黑体" w:cs="黑体"/>
                <w:bCs/>
                <w:sz w:val="24"/>
              </w:rPr>
              <w:t>科目调剂</w:t>
            </w:r>
          </w:p>
        </w:tc>
        <w:tc>
          <w:tcPr>
            <w:tcW w:w="1240" w:type="dxa"/>
            <w:vMerge w:val="restart"/>
            <w:tcBorders>
              <w:top w:val="single" w:color="000000" w:sz="8" w:space="0"/>
              <w:left w:val="single" w:color="000000" w:sz="4" w:space="0"/>
              <w:bottom w:val="single" w:color="000000" w:sz="4" w:space="0"/>
              <w:right w:val="single" w:color="000000" w:sz="8" w:space="0"/>
            </w:tcBorders>
            <w:shd w:val="clear" w:color="auto" w:fill="FFFFFF"/>
            <w:noWrap/>
            <w:tcMar>
              <w:top w:w="15" w:type="dxa"/>
              <w:left w:w="15" w:type="dxa"/>
              <w:right w:w="15" w:type="dxa"/>
            </w:tcMar>
            <w:vAlign w:val="center"/>
          </w:tcPr>
          <w:p w14:paraId="6E6BFB28">
            <w:pPr>
              <w:adjustRightInd w:val="0"/>
              <w:snapToGrid w:val="0"/>
              <w:jc w:val="center"/>
              <w:textAlignment w:val="center"/>
              <w:rPr>
                <w:rFonts w:hint="eastAsia" w:ascii="仿宋" w:hAnsi="仿宋" w:eastAsia="仿宋" w:cs="仿宋"/>
                <w:bCs/>
                <w:sz w:val="24"/>
              </w:rPr>
            </w:pPr>
            <w:r>
              <w:rPr>
                <w:rFonts w:hint="eastAsia" w:ascii="黑体" w:hAnsi="黑体" w:eastAsia="黑体" w:cs="黑体"/>
                <w:bCs/>
                <w:sz w:val="24"/>
              </w:rPr>
              <w:t>年终决算数</w:t>
            </w:r>
          </w:p>
        </w:tc>
      </w:tr>
      <w:tr w14:paraId="738EB9DF">
        <w:tblPrEx>
          <w:tblCellMar>
            <w:top w:w="0" w:type="dxa"/>
            <w:left w:w="0" w:type="dxa"/>
            <w:bottom w:w="0" w:type="dxa"/>
            <w:right w:w="0" w:type="dxa"/>
          </w:tblCellMar>
        </w:tblPrEx>
        <w:trPr>
          <w:trHeight w:val="419" w:hRule="atLeast"/>
        </w:trPr>
        <w:tc>
          <w:tcPr>
            <w:tcW w:w="3233" w:type="dxa"/>
            <w:vMerge w:val="continue"/>
            <w:tcBorders>
              <w:top w:val="single" w:color="000000" w:sz="8"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A592FB">
            <w:pPr>
              <w:adjustRightInd w:val="0"/>
              <w:snapToGrid w:val="0"/>
              <w:jc w:val="center"/>
              <w:rPr>
                <w:rFonts w:hint="eastAsia" w:ascii="黑体" w:hAnsi="黑体" w:eastAsia="黑体" w:cs="黑体"/>
                <w:b/>
                <w:sz w:val="24"/>
              </w:rPr>
            </w:pPr>
          </w:p>
        </w:tc>
        <w:tc>
          <w:tcPr>
            <w:tcW w:w="1395" w:type="dxa"/>
            <w:vMerge w:val="continue"/>
            <w:tcBorders>
              <w:top w:val="single" w:color="000000" w:sz="8"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2BA5B1">
            <w:pPr>
              <w:adjustRightInd w:val="0"/>
              <w:snapToGrid w:val="0"/>
              <w:jc w:val="center"/>
              <w:rPr>
                <w:rFonts w:hint="eastAsia" w:ascii="黑体" w:hAnsi="黑体" w:eastAsia="黑体" w:cs="黑体"/>
                <w:b/>
                <w:sz w:val="24"/>
              </w:rPr>
            </w:pP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4C6DFA">
            <w:pPr>
              <w:adjustRightInd w:val="0"/>
              <w:snapToGrid w:val="0"/>
              <w:jc w:val="center"/>
              <w:rPr>
                <w:rFonts w:hint="eastAsia" w:ascii="黑体" w:hAnsi="黑体" w:eastAsia="黑体" w:cs="黑体"/>
                <w:bCs/>
                <w:sz w:val="24"/>
              </w:rPr>
            </w:pPr>
            <w:r>
              <w:rPr>
                <w:rFonts w:hint="eastAsia" w:ascii="黑体" w:hAnsi="黑体" w:eastAsia="黑体" w:cs="黑体"/>
                <w:bCs/>
                <w:sz w:val="24"/>
              </w:rPr>
              <w:t>调增项目</w:t>
            </w:r>
          </w:p>
        </w:tc>
        <w:tc>
          <w:tcPr>
            <w:tcW w:w="14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E077C1">
            <w:pPr>
              <w:adjustRightInd w:val="0"/>
              <w:snapToGrid w:val="0"/>
              <w:jc w:val="center"/>
              <w:rPr>
                <w:rFonts w:hint="eastAsia" w:ascii="黑体" w:hAnsi="黑体" w:eastAsia="黑体" w:cs="黑体"/>
                <w:bCs/>
                <w:sz w:val="24"/>
              </w:rPr>
            </w:pPr>
            <w:r>
              <w:rPr>
                <w:rFonts w:hint="eastAsia" w:ascii="黑体" w:hAnsi="黑体" w:eastAsia="黑体" w:cs="黑体"/>
                <w:bCs/>
                <w:sz w:val="24"/>
              </w:rPr>
              <w:t>调减项目</w:t>
            </w:r>
          </w:p>
        </w:tc>
        <w:tc>
          <w:tcPr>
            <w:tcW w:w="1240" w:type="dxa"/>
            <w:vMerge w:val="continue"/>
            <w:tcBorders>
              <w:top w:val="single" w:color="000000" w:sz="8" w:space="0"/>
              <w:left w:val="single" w:color="000000" w:sz="4" w:space="0"/>
              <w:bottom w:val="single" w:color="000000" w:sz="4" w:space="0"/>
              <w:right w:val="single" w:color="000000" w:sz="8" w:space="0"/>
            </w:tcBorders>
            <w:shd w:val="clear" w:color="auto" w:fill="FFFFFF"/>
            <w:noWrap/>
            <w:tcMar>
              <w:top w:w="15" w:type="dxa"/>
              <w:left w:w="15" w:type="dxa"/>
              <w:right w:w="15" w:type="dxa"/>
            </w:tcMar>
            <w:vAlign w:val="center"/>
          </w:tcPr>
          <w:p w14:paraId="3D830FB1">
            <w:pPr>
              <w:adjustRightInd w:val="0"/>
              <w:snapToGrid w:val="0"/>
              <w:jc w:val="center"/>
              <w:rPr>
                <w:rFonts w:hint="eastAsia" w:ascii="仿宋" w:hAnsi="仿宋" w:eastAsia="仿宋" w:cs="仿宋"/>
                <w:b/>
                <w:sz w:val="24"/>
              </w:rPr>
            </w:pPr>
          </w:p>
        </w:tc>
      </w:tr>
      <w:tr w14:paraId="6FA2ECB1">
        <w:tblPrEx>
          <w:tblCellMar>
            <w:top w:w="0" w:type="dxa"/>
            <w:left w:w="0" w:type="dxa"/>
            <w:bottom w:w="0" w:type="dxa"/>
            <w:right w:w="0" w:type="dxa"/>
          </w:tblCellMar>
        </w:tblPrEx>
        <w:trPr>
          <w:trHeight w:val="407" w:hRule="atLeast"/>
        </w:trPr>
        <w:tc>
          <w:tcPr>
            <w:tcW w:w="32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97DBEA">
            <w:pPr>
              <w:adjustRightInd w:val="0"/>
              <w:snapToGrid w:val="0"/>
              <w:rPr>
                <w:rFonts w:hint="eastAsia" w:ascii="仿宋_GB2312" w:hAnsi="仿宋_GB2312" w:eastAsia="仿宋_GB2312" w:cs="仿宋_GB2312"/>
                <w:b/>
                <w:sz w:val="24"/>
              </w:rPr>
            </w:pP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384D37E0">
            <w:pPr>
              <w:jc w:val="left"/>
              <w:rPr>
                <w:rFonts w:hint="default" w:ascii="仿宋_GB2312" w:hAnsi="仿宋_GB2312" w:eastAsia="仿宋_GB2312" w:cs="仿宋_GB2312"/>
                <w:b/>
                <w:sz w:val="24"/>
                <w:lang w:val="en-US" w:eastAsia="zh-CN"/>
              </w:rPr>
            </w:pPr>
            <w:r>
              <w:rPr>
                <w:rFonts w:hint="eastAsia" w:ascii="仿宋_GB2312" w:hAnsi="仿宋_GB2312" w:eastAsia="仿宋_GB2312" w:cs="仿宋_GB2312"/>
                <w:b/>
                <w:sz w:val="24"/>
                <w:lang w:val="en-US" w:eastAsia="zh-CN"/>
              </w:rPr>
              <w:t>396177</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74911176">
            <w:pPr>
              <w:jc w:val="left"/>
              <w:rPr>
                <w:rFonts w:hint="default" w:ascii="仿宋_GB2312" w:hAnsi="仿宋_GB2312" w:eastAsia="仿宋_GB2312" w:cs="仿宋_GB2312"/>
                <w:b/>
                <w:sz w:val="24"/>
                <w:lang w:val="en-US" w:eastAsia="zh-CN"/>
              </w:rPr>
            </w:pPr>
            <w:r>
              <w:rPr>
                <w:rFonts w:hint="eastAsia" w:ascii="仿宋_GB2312" w:hAnsi="仿宋_GB2312" w:eastAsia="仿宋_GB2312" w:cs="仿宋_GB2312"/>
                <w:b/>
                <w:sz w:val="24"/>
                <w:lang w:val="en-US" w:eastAsia="zh-CN"/>
              </w:rPr>
              <w:t>82486</w:t>
            </w:r>
          </w:p>
        </w:tc>
        <w:tc>
          <w:tcPr>
            <w:tcW w:w="14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24DDC856">
            <w:pPr>
              <w:jc w:val="left"/>
              <w:rPr>
                <w:rFonts w:hint="default" w:ascii="仿宋_GB2312" w:hAnsi="仿宋_GB2312" w:eastAsia="仿宋_GB2312" w:cs="仿宋_GB2312"/>
                <w:b/>
                <w:sz w:val="24"/>
                <w:lang w:val="en-US" w:eastAsia="zh-CN"/>
              </w:rPr>
            </w:pPr>
            <w:r>
              <w:rPr>
                <w:rFonts w:hint="eastAsia" w:ascii="仿宋_GB2312" w:hAnsi="仿宋_GB2312" w:eastAsia="仿宋_GB2312" w:cs="仿宋_GB2312"/>
                <w:b/>
                <w:sz w:val="24"/>
                <w:lang w:val="en-US" w:eastAsia="zh-CN"/>
              </w:rPr>
              <w:t>82486</w:t>
            </w:r>
          </w:p>
        </w:tc>
        <w:tc>
          <w:tcPr>
            <w:tcW w:w="1240" w:type="dxa"/>
            <w:tcBorders>
              <w:top w:val="single" w:color="000000" w:sz="4" w:space="0"/>
              <w:left w:val="single" w:color="000000" w:sz="4" w:space="0"/>
              <w:bottom w:val="single" w:color="000000" w:sz="4" w:space="0"/>
              <w:right w:val="single" w:color="000000" w:sz="8" w:space="0"/>
            </w:tcBorders>
            <w:noWrap/>
            <w:tcMar>
              <w:top w:w="15" w:type="dxa"/>
              <w:left w:w="15" w:type="dxa"/>
              <w:right w:w="15" w:type="dxa"/>
            </w:tcMar>
            <w:vAlign w:val="bottom"/>
          </w:tcPr>
          <w:p w14:paraId="708D96F5">
            <w:pPr>
              <w:jc w:val="left"/>
              <w:rPr>
                <w:rFonts w:hint="default" w:ascii="仿宋_GB2312" w:hAnsi="仿宋_GB2312" w:eastAsia="仿宋_GB2312" w:cs="仿宋_GB2312"/>
                <w:b/>
                <w:sz w:val="24"/>
                <w:lang w:val="en-US" w:eastAsia="zh-CN"/>
              </w:rPr>
            </w:pPr>
            <w:r>
              <w:rPr>
                <w:rFonts w:hint="eastAsia" w:ascii="仿宋_GB2312" w:hAnsi="仿宋_GB2312" w:eastAsia="仿宋_GB2312" w:cs="仿宋_GB2312"/>
                <w:b/>
                <w:sz w:val="24"/>
                <w:lang w:val="en-US" w:eastAsia="zh-CN"/>
              </w:rPr>
              <w:t>396177</w:t>
            </w:r>
          </w:p>
        </w:tc>
      </w:tr>
      <w:tr w14:paraId="6E52C00C">
        <w:tblPrEx>
          <w:tblCellMar>
            <w:top w:w="0" w:type="dxa"/>
            <w:left w:w="0" w:type="dxa"/>
            <w:bottom w:w="0" w:type="dxa"/>
            <w:right w:w="0" w:type="dxa"/>
          </w:tblCellMar>
        </w:tblPrEx>
        <w:trPr>
          <w:trHeight w:val="407" w:hRule="atLeast"/>
        </w:trPr>
        <w:tc>
          <w:tcPr>
            <w:tcW w:w="32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FAC9D9">
            <w:pPr>
              <w:adjustRightInd w:val="0"/>
              <w:snapToGrid w:val="0"/>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rPr>
              <w:t>201 一般公共服务支出</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2D43C3B5">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49919</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2FB5AE78">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4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6AB421E2">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29274</w:t>
            </w:r>
          </w:p>
        </w:tc>
        <w:tc>
          <w:tcPr>
            <w:tcW w:w="1240"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bottom"/>
          </w:tcPr>
          <w:p w14:paraId="013948C1">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20645</w:t>
            </w:r>
          </w:p>
        </w:tc>
      </w:tr>
      <w:tr w14:paraId="3754ADB9">
        <w:tblPrEx>
          <w:tblCellMar>
            <w:top w:w="0" w:type="dxa"/>
            <w:left w:w="0" w:type="dxa"/>
            <w:bottom w:w="0" w:type="dxa"/>
            <w:right w:w="0" w:type="dxa"/>
          </w:tblCellMar>
        </w:tblPrEx>
        <w:trPr>
          <w:trHeight w:val="407" w:hRule="atLeast"/>
        </w:trPr>
        <w:tc>
          <w:tcPr>
            <w:tcW w:w="32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8529FB">
            <w:pPr>
              <w:adjustRightInd w:val="0"/>
              <w:snapToGrid w:val="0"/>
              <w:textAlignment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203 国防支出</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31DF023A">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6</w:t>
            </w:r>
            <w:r>
              <w:rPr>
                <w:rFonts w:hint="eastAsia" w:ascii="仿宋_GB2312" w:hAnsi="仿宋_GB2312" w:eastAsia="仿宋_GB2312" w:cs="仿宋_GB2312"/>
                <w:sz w:val="24"/>
                <w:szCs w:val="24"/>
                <w:lang w:val="en-US" w:eastAsia="zh-CN"/>
              </w:rPr>
              <w:t>2</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714FA5CF">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4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0F9BC8A9">
            <w:pPr>
              <w:jc w:val="left"/>
              <w:rPr>
                <w:rFonts w:hint="eastAsia" w:ascii="仿宋_GB2312" w:hAnsi="仿宋_GB2312" w:eastAsia="仿宋_GB2312" w:cs="仿宋_GB2312"/>
                <w:sz w:val="24"/>
                <w:szCs w:val="24"/>
                <w:lang w:eastAsia="zh-CN"/>
              </w:rPr>
            </w:pPr>
          </w:p>
        </w:tc>
        <w:tc>
          <w:tcPr>
            <w:tcW w:w="1240"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bottom"/>
          </w:tcPr>
          <w:p w14:paraId="75A49D69">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62</w:t>
            </w:r>
          </w:p>
        </w:tc>
      </w:tr>
      <w:tr w14:paraId="464235F6">
        <w:tblPrEx>
          <w:tblCellMar>
            <w:top w:w="0" w:type="dxa"/>
            <w:left w:w="0" w:type="dxa"/>
            <w:bottom w:w="0" w:type="dxa"/>
            <w:right w:w="0" w:type="dxa"/>
          </w:tblCellMar>
        </w:tblPrEx>
        <w:trPr>
          <w:trHeight w:val="90" w:hRule="atLeast"/>
        </w:trPr>
        <w:tc>
          <w:tcPr>
            <w:tcW w:w="32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0E8B35">
            <w:pPr>
              <w:adjustRightInd w:val="0"/>
              <w:snapToGrid w:val="0"/>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rPr>
              <w:t>204 公共安全支出</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12DA1A05">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4393</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11A8D43F">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　</w:t>
            </w:r>
          </w:p>
        </w:tc>
        <w:tc>
          <w:tcPr>
            <w:tcW w:w="14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3F59AC30">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9647</w:t>
            </w:r>
          </w:p>
        </w:tc>
        <w:tc>
          <w:tcPr>
            <w:tcW w:w="1240"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bottom"/>
          </w:tcPr>
          <w:p w14:paraId="2A00A1BD">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4746</w:t>
            </w:r>
          </w:p>
        </w:tc>
      </w:tr>
      <w:tr w14:paraId="4193690A">
        <w:tblPrEx>
          <w:tblCellMar>
            <w:top w:w="0" w:type="dxa"/>
            <w:left w:w="0" w:type="dxa"/>
            <w:bottom w:w="0" w:type="dxa"/>
            <w:right w:w="0" w:type="dxa"/>
          </w:tblCellMar>
        </w:tblPrEx>
        <w:trPr>
          <w:trHeight w:val="407" w:hRule="atLeast"/>
        </w:trPr>
        <w:tc>
          <w:tcPr>
            <w:tcW w:w="32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3BD815">
            <w:pPr>
              <w:adjustRightInd w:val="0"/>
              <w:snapToGrid w:val="0"/>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rPr>
              <w:t>205 教育支出</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540488F4">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96216</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0DE52AFF">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38704</w:t>
            </w:r>
          </w:p>
        </w:tc>
        <w:tc>
          <w:tcPr>
            <w:tcW w:w="14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38130160">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40"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bottom"/>
          </w:tcPr>
          <w:p w14:paraId="21102856">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134</w:t>
            </w:r>
            <w:r>
              <w:rPr>
                <w:rFonts w:hint="eastAsia" w:ascii="仿宋_GB2312" w:hAnsi="仿宋_GB2312" w:eastAsia="仿宋_GB2312" w:cs="仿宋_GB2312"/>
                <w:sz w:val="24"/>
                <w:szCs w:val="24"/>
                <w:lang w:val="en-US" w:eastAsia="zh-CN"/>
              </w:rPr>
              <w:t>920</w:t>
            </w:r>
          </w:p>
        </w:tc>
      </w:tr>
      <w:tr w14:paraId="7D29CD7C">
        <w:tblPrEx>
          <w:tblCellMar>
            <w:top w:w="0" w:type="dxa"/>
            <w:left w:w="0" w:type="dxa"/>
            <w:bottom w:w="0" w:type="dxa"/>
            <w:right w:w="0" w:type="dxa"/>
          </w:tblCellMar>
        </w:tblPrEx>
        <w:trPr>
          <w:trHeight w:val="407" w:hRule="atLeast"/>
        </w:trPr>
        <w:tc>
          <w:tcPr>
            <w:tcW w:w="32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E93F49">
            <w:pPr>
              <w:adjustRightInd w:val="0"/>
              <w:snapToGrid w:val="0"/>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rPr>
              <w:t>206 科学技术支出</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62230A50">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13551</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574D6904">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3133</w:t>
            </w:r>
          </w:p>
        </w:tc>
        <w:tc>
          <w:tcPr>
            <w:tcW w:w="14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09DAF5E4">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40"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bottom"/>
          </w:tcPr>
          <w:p w14:paraId="67685131">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16684</w:t>
            </w:r>
          </w:p>
        </w:tc>
      </w:tr>
      <w:tr w14:paraId="083A6396">
        <w:tblPrEx>
          <w:tblCellMar>
            <w:top w:w="0" w:type="dxa"/>
            <w:left w:w="0" w:type="dxa"/>
            <w:bottom w:w="0" w:type="dxa"/>
            <w:right w:w="0" w:type="dxa"/>
          </w:tblCellMar>
        </w:tblPrEx>
        <w:trPr>
          <w:trHeight w:val="349" w:hRule="atLeast"/>
        </w:trPr>
        <w:tc>
          <w:tcPr>
            <w:tcW w:w="32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A83133">
            <w:pPr>
              <w:adjustRightInd w:val="0"/>
              <w:snapToGrid w:val="0"/>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rPr>
              <w:t>207 文化旅游体育与传媒支出</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4944BFBC">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3339</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739B5741">
            <w:pPr>
              <w:jc w:val="left"/>
              <w:rPr>
                <w:rFonts w:hint="eastAsia" w:ascii="仿宋_GB2312" w:hAnsi="仿宋_GB2312" w:eastAsia="仿宋_GB2312" w:cs="仿宋_GB2312"/>
                <w:sz w:val="24"/>
                <w:szCs w:val="24"/>
              </w:rPr>
            </w:pPr>
          </w:p>
        </w:tc>
        <w:tc>
          <w:tcPr>
            <w:tcW w:w="14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466A23B3">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300</w:t>
            </w:r>
          </w:p>
        </w:tc>
        <w:tc>
          <w:tcPr>
            <w:tcW w:w="1240"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bottom"/>
          </w:tcPr>
          <w:p w14:paraId="7D710324">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3039</w:t>
            </w:r>
          </w:p>
        </w:tc>
      </w:tr>
      <w:tr w14:paraId="0A630B74">
        <w:tblPrEx>
          <w:tblCellMar>
            <w:top w:w="0" w:type="dxa"/>
            <w:left w:w="0" w:type="dxa"/>
            <w:bottom w:w="0" w:type="dxa"/>
            <w:right w:w="0" w:type="dxa"/>
          </w:tblCellMar>
        </w:tblPrEx>
        <w:trPr>
          <w:trHeight w:val="407" w:hRule="atLeast"/>
        </w:trPr>
        <w:tc>
          <w:tcPr>
            <w:tcW w:w="32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4A2BF7">
            <w:pPr>
              <w:adjustRightInd w:val="0"/>
              <w:snapToGrid w:val="0"/>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rPr>
              <w:t>208 社会保障和就业支出</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4BA4223A">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56501</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36E4F06A">
            <w:pPr>
              <w:jc w:val="left"/>
              <w:rPr>
                <w:rFonts w:hint="eastAsia" w:ascii="仿宋_GB2312" w:hAnsi="仿宋_GB2312" w:eastAsia="仿宋_GB2312" w:cs="仿宋_GB2312"/>
                <w:sz w:val="24"/>
                <w:szCs w:val="24"/>
                <w:lang w:val="en-US" w:eastAsia="zh-CN"/>
              </w:rPr>
            </w:pPr>
          </w:p>
        </w:tc>
        <w:tc>
          <w:tcPr>
            <w:tcW w:w="14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2861A32A">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1798</w:t>
            </w:r>
          </w:p>
        </w:tc>
        <w:tc>
          <w:tcPr>
            <w:tcW w:w="1240"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bottom"/>
          </w:tcPr>
          <w:p w14:paraId="23C55D86">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54703</w:t>
            </w:r>
          </w:p>
        </w:tc>
      </w:tr>
      <w:tr w14:paraId="561664CD">
        <w:tblPrEx>
          <w:tblCellMar>
            <w:top w:w="0" w:type="dxa"/>
            <w:left w:w="0" w:type="dxa"/>
            <w:bottom w:w="0" w:type="dxa"/>
            <w:right w:w="0" w:type="dxa"/>
          </w:tblCellMar>
        </w:tblPrEx>
        <w:trPr>
          <w:trHeight w:val="407" w:hRule="atLeast"/>
        </w:trPr>
        <w:tc>
          <w:tcPr>
            <w:tcW w:w="32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09A87B">
            <w:pPr>
              <w:adjustRightInd w:val="0"/>
              <w:snapToGrid w:val="0"/>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rPr>
              <w:t>210 卫生健康支出</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507D992E">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17874</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08B8D96D">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25824</w:t>
            </w:r>
          </w:p>
        </w:tc>
        <w:tc>
          <w:tcPr>
            <w:tcW w:w="14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72B29B46">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40"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bottom"/>
          </w:tcPr>
          <w:p w14:paraId="673B281E">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43698</w:t>
            </w:r>
          </w:p>
        </w:tc>
      </w:tr>
      <w:tr w14:paraId="6E74D413">
        <w:tblPrEx>
          <w:tblCellMar>
            <w:top w:w="0" w:type="dxa"/>
            <w:left w:w="0" w:type="dxa"/>
            <w:bottom w:w="0" w:type="dxa"/>
            <w:right w:w="0" w:type="dxa"/>
          </w:tblCellMar>
        </w:tblPrEx>
        <w:trPr>
          <w:trHeight w:val="407" w:hRule="atLeast"/>
        </w:trPr>
        <w:tc>
          <w:tcPr>
            <w:tcW w:w="32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FF7C2F">
            <w:pPr>
              <w:adjustRightInd w:val="0"/>
              <w:snapToGrid w:val="0"/>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rPr>
              <w:t>211 节能环保支出</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1E22FC6F">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18992</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44F1F047">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2282</w:t>
            </w:r>
          </w:p>
        </w:tc>
        <w:tc>
          <w:tcPr>
            <w:tcW w:w="14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350E443D">
            <w:pPr>
              <w:jc w:val="left"/>
              <w:rPr>
                <w:rFonts w:hint="default" w:ascii="仿宋_GB2312" w:hAnsi="仿宋_GB2312" w:eastAsia="仿宋_GB2312" w:cs="仿宋_GB2312"/>
                <w:sz w:val="24"/>
                <w:szCs w:val="24"/>
                <w:lang w:val="en-US" w:eastAsia="zh-CN"/>
              </w:rPr>
            </w:pPr>
          </w:p>
        </w:tc>
        <w:tc>
          <w:tcPr>
            <w:tcW w:w="1240"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bottom"/>
          </w:tcPr>
          <w:p w14:paraId="1BDB4759">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21274</w:t>
            </w:r>
          </w:p>
        </w:tc>
      </w:tr>
      <w:tr w14:paraId="3BE48511">
        <w:tblPrEx>
          <w:tblCellMar>
            <w:top w:w="0" w:type="dxa"/>
            <w:left w:w="0" w:type="dxa"/>
            <w:bottom w:w="0" w:type="dxa"/>
            <w:right w:w="0" w:type="dxa"/>
          </w:tblCellMar>
        </w:tblPrEx>
        <w:trPr>
          <w:trHeight w:val="407" w:hRule="atLeast"/>
        </w:trPr>
        <w:tc>
          <w:tcPr>
            <w:tcW w:w="32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6CB296">
            <w:pPr>
              <w:adjustRightInd w:val="0"/>
              <w:snapToGrid w:val="0"/>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rPr>
              <w:t>212 城乡社区支出</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031089DD">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30660</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06445E94">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4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32DBAAF7">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26985</w:t>
            </w:r>
          </w:p>
        </w:tc>
        <w:tc>
          <w:tcPr>
            <w:tcW w:w="1240"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bottom"/>
          </w:tcPr>
          <w:p w14:paraId="6C13496A">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36</w:t>
            </w:r>
            <w:r>
              <w:rPr>
                <w:rFonts w:hint="eastAsia" w:ascii="仿宋_GB2312" w:hAnsi="仿宋_GB2312" w:eastAsia="仿宋_GB2312" w:cs="仿宋_GB2312"/>
                <w:sz w:val="24"/>
                <w:szCs w:val="24"/>
                <w:lang w:val="en-US" w:eastAsia="zh-CN"/>
              </w:rPr>
              <w:t>75</w:t>
            </w:r>
          </w:p>
        </w:tc>
      </w:tr>
      <w:tr w14:paraId="1B6A147F">
        <w:tblPrEx>
          <w:tblCellMar>
            <w:top w:w="0" w:type="dxa"/>
            <w:left w:w="0" w:type="dxa"/>
            <w:bottom w:w="0" w:type="dxa"/>
            <w:right w:w="0" w:type="dxa"/>
          </w:tblCellMar>
        </w:tblPrEx>
        <w:trPr>
          <w:trHeight w:val="407" w:hRule="atLeast"/>
        </w:trPr>
        <w:tc>
          <w:tcPr>
            <w:tcW w:w="32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A36E67">
            <w:pPr>
              <w:adjustRightInd w:val="0"/>
              <w:snapToGrid w:val="0"/>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rPr>
              <w:t>213 农林水支出</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02774C86">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48647</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74D9FF3A">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11448</w:t>
            </w:r>
          </w:p>
        </w:tc>
        <w:tc>
          <w:tcPr>
            <w:tcW w:w="14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7AC13834">
            <w:pPr>
              <w:jc w:val="left"/>
              <w:rPr>
                <w:rFonts w:hint="default" w:ascii="仿宋_GB2312" w:hAnsi="仿宋_GB2312" w:eastAsia="仿宋_GB2312" w:cs="仿宋_GB2312"/>
                <w:sz w:val="24"/>
                <w:szCs w:val="24"/>
                <w:lang w:val="en-US" w:eastAsia="zh-CN"/>
              </w:rPr>
            </w:pPr>
          </w:p>
        </w:tc>
        <w:tc>
          <w:tcPr>
            <w:tcW w:w="1240"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bottom"/>
          </w:tcPr>
          <w:p w14:paraId="0741E1CF">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60095</w:t>
            </w:r>
          </w:p>
        </w:tc>
      </w:tr>
      <w:tr w14:paraId="58012252">
        <w:tblPrEx>
          <w:tblCellMar>
            <w:top w:w="0" w:type="dxa"/>
            <w:left w:w="0" w:type="dxa"/>
            <w:bottom w:w="0" w:type="dxa"/>
            <w:right w:w="0" w:type="dxa"/>
          </w:tblCellMar>
        </w:tblPrEx>
        <w:trPr>
          <w:trHeight w:val="407" w:hRule="atLeast"/>
        </w:trPr>
        <w:tc>
          <w:tcPr>
            <w:tcW w:w="32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F68B6A">
            <w:pPr>
              <w:adjustRightInd w:val="0"/>
              <w:snapToGrid w:val="0"/>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rPr>
              <w:t>214 交通运输支出</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0633274E">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7143</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49277DA1">
            <w:pPr>
              <w:jc w:val="left"/>
              <w:rPr>
                <w:rFonts w:hint="eastAsia" w:ascii="仿宋_GB2312" w:hAnsi="仿宋_GB2312" w:eastAsia="仿宋_GB2312" w:cs="仿宋_GB2312"/>
                <w:sz w:val="24"/>
                <w:szCs w:val="24"/>
              </w:rPr>
            </w:pPr>
          </w:p>
        </w:tc>
        <w:tc>
          <w:tcPr>
            <w:tcW w:w="14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4FBBD6F1">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7206</w:t>
            </w:r>
          </w:p>
        </w:tc>
        <w:tc>
          <w:tcPr>
            <w:tcW w:w="1240"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bottom"/>
          </w:tcPr>
          <w:p w14:paraId="5969108B">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9937</w:t>
            </w:r>
          </w:p>
        </w:tc>
      </w:tr>
      <w:tr w14:paraId="16F870F7">
        <w:tblPrEx>
          <w:tblCellMar>
            <w:top w:w="0" w:type="dxa"/>
            <w:left w:w="0" w:type="dxa"/>
            <w:bottom w:w="0" w:type="dxa"/>
            <w:right w:w="0" w:type="dxa"/>
          </w:tblCellMar>
        </w:tblPrEx>
        <w:trPr>
          <w:trHeight w:val="407" w:hRule="atLeast"/>
        </w:trPr>
        <w:tc>
          <w:tcPr>
            <w:tcW w:w="32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F074AF">
            <w:pPr>
              <w:adjustRightInd w:val="0"/>
              <w:snapToGrid w:val="0"/>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rPr>
              <w:t>215 资源勘探信息等支出</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323E68A4">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1568</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4428C68B">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837</w:t>
            </w:r>
          </w:p>
        </w:tc>
        <w:tc>
          <w:tcPr>
            <w:tcW w:w="14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49E0301E">
            <w:pPr>
              <w:jc w:val="left"/>
              <w:rPr>
                <w:rFonts w:hint="eastAsia" w:ascii="仿宋_GB2312" w:hAnsi="仿宋_GB2312" w:eastAsia="仿宋_GB2312" w:cs="仿宋_GB2312"/>
                <w:sz w:val="24"/>
                <w:szCs w:val="24"/>
              </w:rPr>
            </w:pPr>
          </w:p>
        </w:tc>
        <w:tc>
          <w:tcPr>
            <w:tcW w:w="1240"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bottom"/>
          </w:tcPr>
          <w:p w14:paraId="55472787">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2405</w:t>
            </w:r>
          </w:p>
        </w:tc>
      </w:tr>
      <w:tr w14:paraId="401E3F86">
        <w:tblPrEx>
          <w:tblCellMar>
            <w:top w:w="0" w:type="dxa"/>
            <w:left w:w="0" w:type="dxa"/>
            <w:bottom w:w="0" w:type="dxa"/>
            <w:right w:w="0" w:type="dxa"/>
          </w:tblCellMar>
        </w:tblPrEx>
        <w:trPr>
          <w:trHeight w:val="407" w:hRule="atLeast"/>
        </w:trPr>
        <w:tc>
          <w:tcPr>
            <w:tcW w:w="32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80A23C">
            <w:pPr>
              <w:adjustRightInd w:val="0"/>
              <w:snapToGrid w:val="0"/>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rPr>
              <w:t>216 商业服务业等支出</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2518B97A">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201</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10193B85">
            <w:pPr>
              <w:jc w:val="left"/>
              <w:rPr>
                <w:rFonts w:hint="eastAsia" w:ascii="仿宋_GB2312" w:hAnsi="仿宋_GB2312" w:eastAsia="仿宋_GB2312" w:cs="仿宋_GB2312"/>
                <w:sz w:val="24"/>
                <w:szCs w:val="24"/>
              </w:rPr>
            </w:pPr>
          </w:p>
        </w:tc>
        <w:tc>
          <w:tcPr>
            <w:tcW w:w="14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764329A1">
            <w:pPr>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　</w:t>
            </w:r>
          </w:p>
        </w:tc>
        <w:tc>
          <w:tcPr>
            <w:tcW w:w="1240"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bottom"/>
          </w:tcPr>
          <w:p w14:paraId="0C8A3594">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201</w:t>
            </w:r>
          </w:p>
        </w:tc>
      </w:tr>
      <w:tr w14:paraId="2519C7F7">
        <w:tblPrEx>
          <w:tblCellMar>
            <w:top w:w="0" w:type="dxa"/>
            <w:left w:w="0" w:type="dxa"/>
            <w:bottom w:w="0" w:type="dxa"/>
            <w:right w:w="0" w:type="dxa"/>
          </w:tblCellMar>
        </w:tblPrEx>
        <w:trPr>
          <w:trHeight w:val="407" w:hRule="atLeast"/>
        </w:trPr>
        <w:tc>
          <w:tcPr>
            <w:tcW w:w="32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BC1262">
            <w:pPr>
              <w:adjustRightInd w:val="0"/>
              <w:snapToGrid w:val="0"/>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rPr>
              <w:t>217 金融支出</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65C177BB">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134326DC">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4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3D67DF1C">
            <w:pPr>
              <w:jc w:val="left"/>
              <w:rPr>
                <w:rFonts w:hint="eastAsia" w:ascii="仿宋_GB2312" w:hAnsi="仿宋_GB2312" w:eastAsia="仿宋_GB2312" w:cs="仿宋_GB2312"/>
                <w:sz w:val="24"/>
                <w:szCs w:val="24"/>
              </w:rPr>
            </w:pPr>
          </w:p>
        </w:tc>
        <w:tc>
          <w:tcPr>
            <w:tcW w:w="1240"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bottom"/>
          </w:tcPr>
          <w:p w14:paraId="36825412">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r>
      <w:tr w14:paraId="628F9C1F">
        <w:tblPrEx>
          <w:tblCellMar>
            <w:top w:w="0" w:type="dxa"/>
            <w:left w:w="0" w:type="dxa"/>
            <w:bottom w:w="0" w:type="dxa"/>
            <w:right w:w="0" w:type="dxa"/>
          </w:tblCellMar>
        </w:tblPrEx>
        <w:trPr>
          <w:trHeight w:val="384" w:hRule="atLeast"/>
        </w:trPr>
        <w:tc>
          <w:tcPr>
            <w:tcW w:w="32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7D8F5F7">
            <w:pPr>
              <w:adjustRightInd w:val="0"/>
              <w:snapToGrid w:val="0"/>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rPr>
              <w:t>220 自然资源海洋气象等支出</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6AC62F9A">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5385</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6D879066">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4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66B3E640">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462</w:t>
            </w:r>
          </w:p>
        </w:tc>
        <w:tc>
          <w:tcPr>
            <w:tcW w:w="1240"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bottom"/>
          </w:tcPr>
          <w:p w14:paraId="53202AA1">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4923</w:t>
            </w:r>
          </w:p>
        </w:tc>
      </w:tr>
      <w:tr w14:paraId="3A5CC1A2">
        <w:tblPrEx>
          <w:tblCellMar>
            <w:top w:w="0" w:type="dxa"/>
            <w:left w:w="0" w:type="dxa"/>
            <w:bottom w:w="0" w:type="dxa"/>
            <w:right w:w="0" w:type="dxa"/>
          </w:tblCellMar>
        </w:tblPrEx>
        <w:trPr>
          <w:trHeight w:val="407" w:hRule="atLeast"/>
        </w:trPr>
        <w:tc>
          <w:tcPr>
            <w:tcW w:w="32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F9F3E0">
            <w:pPr>
              <w:adjustRightInd w:val="0"/>
              <w:snapToGrid w:val="0"/>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rPr>
              <w:t>221 住房保障支出</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19F76EBD">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13223</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1E817ACF">
            <w:pPr>
              <w:jc w:val="left"/>
              <w:rPr>
                <w:rFonts w:hint="eastAsia" w:ascii="仿宋_GB2312" w:hAnsi="仿宋_GB2312" w:eastAsia="仿宋_GB2312" w:cs="仿宋_GB2312"/>
                <w:sz w:val="24"/>
                <w:szCs w:val="24"/>
              </w:rPr>
            </w:pPr>
          </w:p>
        </w:tc>
        <w:tc>
          <w:tcPr>
            <w:tcW w:w="14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5A1DF2F9">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6814</w:t>
            </w:r>
          </w:p>
        </w:tc>
        <w:tc>
          <w:tcPr>
            <w:tcW w:w="1240"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bottom"/>
          </w:tcPr>
          <w:p w14:paraId="62252A9E">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6409</w:t>
            </w:r>
          </w:p>
        </w:tc>
      </w:tr>
      <w:tr w14:paraId="4B838F62">
        <w:tblPrEx>
          <w:tblCellMar>
            <w:top w:w="0" w:type="dxa"/>
            <w:left w:w="0" w:type="dxa"/>
            <w:bottom w:w="0" w:type="dxa"/>
            <w:right w:w="0" w:type="dxa"/>
          </w:tblCellMar>
        </w:tblPrEx>
        <w:trPr>
          <w:trHeight w:val="407" w:hRule="atLeast"/>
        </w:trPr>
        <w:tc>
          <w:tcPr>
            <w:tcW w:w="32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91CCD8">
            <w:pPr>
              <w:adjustRightInd w:val="0"/>
              <w:snapToGrid w:val="0"/>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rPr>
              <w:t>222 粮油物资储备支出</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52BA5F9E">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989</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5C2B7C0B">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258</w:t>
            </w:r>
          </w:p>
        </w:tc>
        <w:tc>
          <w:tcPr>
            <w:tcW w:w="14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11D8922A">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40"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bottom"/>
          </w:tcPr>
          <w:p w14:paraId="0B62BD17">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1247</w:t>
            </w:r>
          </w:p>
        </w:tc>
      </w:tr>
      <w:tr w14:paraId="1BD88244">
        <w:tblPrEx>
          <w:tblCellMar>
            <w:top w:w="0" w:type="dxa"/>
            <w:left w:w="0" w:type="dxa"/>
            <w:bottom w:w="0" w:type="dxa"/>
            <w:right w:w="0" w:type="dxa"/>
          </w:tblCellMar>
        </w:tblPrEx>
        <w:trPr>
          <w:trHeight w:val="399" w:hRule="atLeast"/>
        </w:trPr>
        <w:tc>
          <w:tcPr>
            <w:tcW w:w="32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2ADA7F">
            <w:pPr>
              <w:adjustRightInd w:val="0"/>
              <w:snapToGrid w:val="0"/>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rPr>
              <w:t>224 灾害防治及应急管理支出</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2C179E7C">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2446</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0700BEEC">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4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018A55E8">
            <w:pPr>
              <w:jc w:val="left"/>
              <w:rPr>
                <w:rFonts w:hint="eastAsia" w:ascii="仿宋_GB2312" w:hAnsi="仿宋_GB2312" w:eastAsia="仿宋_GB2312" w:cs="仿宋_GB2312"/>
                <w:sz w:val="24"/>
                <w:szCs w:val="24"/>
              </w:rPr>
            </w:pPr>
          </w:p>
        </w:tc>
        <w:tc>
          <w:tcPr>
            <w:tcW w:w="1240"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bottom"/>
          </w:tcPr>
          <w:p w14:paraId="67115C12">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2446</w:t>
            </w:r>
          </w:p>
        </w:tc>
      </w:tr>
      <w:tr w14:paraId="69368464">
        <w:tblPrEx>
          <w:tblCellMar>
            <w:top w:w="0" w:type="dxa"/>
            <w:left w:w="0" w:type="dxa"/>
            <w:bottom w:w="0" w:type="dxa"/>
            <w:right w:w="0" w:type="dxa"/>
          </w:tblCellMar>
        </w:tblPrEx>
        <w:trPr>
          <w:trHeight w:val="431" w:hRule="atLeast"/>
        </w:trPr>
        <w:tc>
          <w:tcPr>
            <w:tcW w:w="3233"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14:paraId="1D7E3E75">
            <w:pPr>
              <w:adjustRightInd w:val="0"/>
              <w:snapToGrid w:val="0"/>
              <w:textAlignment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229 其他支出</w:t>
            </w:r>
          </w:p>
        </w:tc>
        <w:tc>
          <w:tcPr>
            <w:tcW w:w="1395" w:type="dxa"/>
            <w:tcBorders>
              <w:top w:val="single" w:color="000000" w:sz="4" w:space="0"/>
              <w:left w:val="single" w:color="000000" w:sz="4" w:space="0"/>
              <w:bottom w:val="single" w:color="000000" w:sz="8" w:space="0"/>
              <w:right w:val="single" w:color="000000" w:sz="4" w:space="0"/>
            </w:tcBorders>
            <w:noWrap/>
            <w:tcMar>
              <w:top w:w="15" w:type="dxa"/>
              <w:left w:w="15" w:type="dxa"/>
              <w:right w:w="15" w:type="dxa"/>
            </w:tcMar>
            <w:vAlign w:val="bottom"/>
          </w:tcPr>
          <w:p w14:paraId="6DB44063">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0</w:t>
            </w:r>
          </w:p>
        </w:tc>
        <w:tc>
          <w:tcPr>
            <w:tcW w:w="1395" w:type="dxa"/>
            <w:tcBorders>
              <w:top w:val="single" w:color="000000" w:sz="4" w:space="0"/>
              <w:left w:val="single" w:color="000000" w:sz="4" w:space="0"/>
              <w:bottom w:val="single" w:color="000000" w:sz="8" w:space="0"/>
              <w:right w:val="single" w:color="000000" w:sz="4" w:space="0"/>
            </w:tcBorders>
            <w:noWrap/>
            <w:tcMar>
              <w:top w:w="15" w:type="dxa"/>
              <w:left w:w="15" w:type="dxa"/>
              <w:right w:w="15" w:type="dxa"/>
            </w:tcMar>
            <w:vAlign w:val="bottom"/>
          </w:tcPr>
          <w:p w14:paraId="7FECEBC0">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455" w:type="dxa"/>
            <w:tcBorders>
              <w:top w:val="single" w:color="000000" w:sz="4" w:space="0"/>
              <w:left w:val="single" w:color="000000" w:sz="4" w:space="0"/>
              <w:bottom w:val="single" w:color="000000" w:sz="8" w:space="0"/>
              <w:right w:val="single" w:color="000000" w:sz="4" w:space="0"/>
            </w:tcBorders>
            <w:noWrap/>
            <w:tcMar>
              <w:top w:w="15" w:type="dxa"/>
              <w:left w:w="15" w:type="dxa"/>
              <w:right w:w="15" w:type="dxa"/>
            </w:tcMar>
            <w:vAlign w:val="bottom"/>
          </w:tcPr>
          <w:p w14:paraId="130C747D">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　</w:t>
            </w:r>
          </w:p>
        </w:tc>
        <w:tc>
          <w:tcPr>
            <w:tcW w:w="1240" w:type="dxa"/>
            <w:tcBorders>
              <w:top w:val="single" w:color="000000" w:sz="4" w:space="0"/>
              <w:left w:val="single" w:color="000000" w:sz="4" w:space="0"/>
              <w:bottom w:val="single" w:color="000000" w:sz="8" w:space="0"/>
              <w:right w:val="single" w:color="000000" w:sz="8" w:space="0"/>
            </w:tcBorders>
            <w:tcMar>
              <w:top w:w="15" w:type="dxa"/>
              <w:left w:w="15" w:type="dxa"/>
              <w:right w:w="15" w:type="dxa"/>
            </w:tcMar>
            <w:vAlign w:val="bottom"/>
          </w:tcPr>
          <w:p w14:paraId="74D99DD4">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14:paraId="662AD0C1">
        <w:tblPrEx>
          <w:tblCellMar>
            <w:top w:w="0" w:type="dxa"/>
            <w:left w:w="0" w:type="dxa"/>
            <w:bottom w:w="0" w:type="dxa"/>
            <w:right w:w="0" w:type="dxa"/>
          </w:tblCellMar>
        </w:tblPrEx>
        <w:trPr>
          <w:trHeight w:val="431" w:hRule="atLeast"/>
        </w:trPr>
        <w:tc>
          <w:tcPr>
            <w:tcW w:w="32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A0ED1E">
            <w:pPr>
              <w:adjustRightInd w:val="0"/>
              <w:snapToGrid w:val="0"/>
              <w:textAlignment w:val="center"/>
              <w:rPr>
                <w:rFonts w:hint="eastAsia" w:ascii="仿宋_GB2312" w:hAnsi="仿宋_GB2312" w:eastAsia="仿宋_GB2312" w:cs="仿宋_GB2312"/>
                <w:sz w:val="24"/>
              </w:rPr>
            </w:pPr>
            <w:r>
              <w:rPr>
                <w:rFonts w:hint="eastAsia" w:ascii="仿宋_GB2312" w:hAnsi="仿宋_GB2312" w:eastAsia="仿宋_GB2312" w:cs="仿宋_GB2312"/>
                <w:kern w:val="0"/>
                <w:sz w:val="24"/>
              </w:rPr>
              <w:t>232 债务付息支出</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1E168D6B">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5</w:t>
            </w:r>
            <w:r>
              <w:rPr>
                <w:rFonts w:hint="eastAsia" w:ascii="仿宋_GB2312" w:hAnsi="仿宋_GB2312" w:eastAsia="仿宋_GB2312" w:cs="仿宋_GB2312"/>
                <w:sz w:val="24"/>
                <w:szCs w:val="24"/>
                <w:lang w:val="en-US" w:eastAsia="zh-CN"/>
              </w:rPr>
              <w:t>067</w:t>
            </w:r>
          </w:p>
        </w:tc>
        <w:tc>
          <w:tcPr>
            <w:tcW w:w="139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756F6A67">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45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bottom"/>
          </w:tcPr>
          <w:p w14:paraId="72C62323">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　</w:t>
            </w:r>
          </w:p>
        </w:tc>
        <w:tc>
          <w:tcPr>
            <w:tcW w:w="1240" w:type="dxa"/>
            <w:tcBorders>
              <w:top w:val="single" w:color="000000" w:sz="4" w:space="0"/>
              <w:left w:val="single" w:color="000000" w:sz="4" w:space="0"/>
              <w:bottom w:val="single" w:color="000000" w:sz="4" w:space="0"/>
              <w:right w:val="single" w:color="000000" w:sz="8" w:space="0"/>
            </w:tcBorders>
            <w:tcMar>
              <w:top w:w="15" w:type="dxa"/>
              <w:left w:w="15" w:type="dxa"/>
              <w:right w:w="15" w:type="dxa"/>
            </w:tcMar>
            <w:vAlign w:val="bottom"/>
          </w:tcPr>
          <w:p w14:paraId="330974F1">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5067</w:t>
            </w:r>
          </w:p>
        </w:tc>
      </w:tr>
      <w:tr w14:paraId="14B12E5D">
        <w:tblPrEx>
          <w:tblCellMar>
            <w:top w:w="0" w:type="dxa"/>
            <w:left w:w="0" w:type="dxa"/>
            <w:bottom w:w="0" w:type="dxa"/>
            <w:right w:w="0" w:type="dxa"/>
          </w:tblCellMar>
        </w:tblPrEx>
        <w:trPr>
          <w:trHeight w:val="431" w:hRule="atLeast"/>
        </w:trPr>
        <w:tc>
          <w:tcPr>
            <w:tcW w:w="3233" w:type="dxa"/>
            <w:tcBorders>
              <w:top w:val="single" w:color="000000" w:sz="4" w:space="0"/>
              <w:left w:val="single" w:color="000000" w:sz="4" w:space="0"/>
              <w:bottom w:val="single" w:color="000000" w:sz="8" w:space="0"/>
              <w:right w:val="single" w:color="000000" w:sz="4" w:space="0"/>
            </w:tcBorders>
            <w:tcMar>
              <w:top w:w="15" w:type="dxa"/>
              <w:left w:w="15" w:type="dxa"/>
              <w:right w:w="15" w:type="dxa"/>
            </w:tcMar>
            <w:vAlign w:val="center"/>
          </w:tcPr>
          <w:p w14:paraId="040077DF">
            <w:pPr>
              <w:adjustRightInd w:val="0"/>
              <w:snapToGrid w:val="0"/>
              <w:textAlignment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233 债务发行费用支出</w:t>
            </w:r>
          </w:p>
        </w:tc>
        <w:tc>
          <w:tcPr>
            <w:tcW w:w="1395" w:type="dxa"/>
            <w:tcBorders>
              <w:top w:val="single" w:color="000000" w:sz="4" w:space="0"/>
              <w:left w:val="single" w:color="000000" w:sz="4" w:space="0"/>
              <w:bottom w:val="single" w:color="000000" w:sz="8" w:space="0"/>
              <w:right w:val="single" w:color="000000" w:sz="4" w:space="0"/>
            </w:tcBorders>
            <w:noWrap/>
            <w:tcMar>
              <w:top w:w="15" w:type="dxa"/>
              <w:left w:w="15" w:type="dxa"/>
              <w:right w:w="15" w:type="dxa"/>
            </w:tcMar>
            <w:vAlign w:val="bottom"/>
          </w:tcPr>
          <w:p w14:paraId="20058BCD">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395" w:type="dxa"/>
            <w:tcBorders>
              <w:top w:val="single" w:color="000000" w:sz="4" w:space="0"/>
              <w:left w:val="single" w:color="000000" w:sz="4" w:space="0"/>
              <w:bottom w:val="single" w:color="000000" w:sz="8" w:space="0"/>
              <w:right w:val="single" w:color="000000" w:sz="4" w:space="0"/>
            </w:tcBorders>
            <w:noWrap/>
            <w:tcMar>
              <w:top w:w="15" w:type="dxa"/>
              <w:left w:w="15" w:type="dxa"/>
              <w:right w:w="15" w:type="dxa"/>
            </w:tcMar>
            <w:vAlign w:val="bottom"/>
          </w:tcPr>
          <w:p w14:paraId="0329CE1B">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455" w:type="dxa"/>
            <w:tcBorders>
              <w:top w:val="single" w:color="000000" w:sz="4" w:space="0"/>
              <w:left w:val="single" w:color="000000" w:sz="4" w:space="0"/>
              <w:bottom w:val="single" w:color="000000" w:sz="8" w:space="0"/>
              <w:right w:val="single" w:color="000000" w:sz="4" w:space="0"/>
            </w:tcBorders>
            <w:noWrap/>
            <w:tcMar>
              <w:top w:w="15" w:type="dxa"/>
              <w:left w:w="15" w:type="dxa"/>
              <w:right w:w="15" w:type="dxa"/>
            </w:tcMar>
            <w:vAlign w:val="bottom"/>
          </w:tcPr>
          <w:p w14:paraId="6148DC3D">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w:t>
            </w:r>
          </w:p>
        </w:tc>
        <w:tc>
          <w:tcPr>
            <w:tcW w:w="1240" w:type="dxa"/>
            <w:tcBorders>
              <w:top w:val="single" w:color="000000" w:sz="4" w:space="0"/>
              <w:left w:val="single" w:color="000000" w:sz="4" w:space="0"/>
              <w:bottom w:val="single" w:color="000000" w:sz="8" w:space="0"/>
              <w:right w:val="single" w:color="000000" w:sz="8" w:space="0"/>
            </w:tcBorders>
            <w:tcMar>
              <w:top w:w="15" w:type="dxa"/>
              <w:left w:w="15" w:type="dxa"/>
              <w:right w:w="15" w:type="dxa"/>
            </w:tcMar>
            <w:vAlign w:val="bottom"/>
          </w:tcPr>
          <w:p w14:paraId="35F3AA22">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r>
    </w:tbl>
    <w:p w14:paraId="0021C5AE">
      <w:pPr>
        <w:adjustRightInd w:val="0"/>
        <w:snapToGrid w:val="0"/>
        <w:spacing w:line="400" w:lineRule="exact"/>
        <w:rPr>
          <w:rFonts w:hint="eastAsia" w:ascii="仿宋_GB2312" w:hAnsi="仿宋" w:eastAsia="仿宋_GB2312" w:cs="仿宋"/>
          <w:sz w:val="32"/>
          <w:szCs w:val="32"/>
        </w:rPr>
      </w:pPr>
    </w:p>
    <w:p w14:paraId="0213BA98">
      <w:pPr>
        <w:adjustRightInd w:val="0"/>
        <w:snapToGrid w:val="0"/>
        <w:spacing w:line="400" w:lineRule="exact"/>
        <w:rPr>
          <w:rFonts w:hint="eastAsia" w:ascii="仿宋_GB2312" w:hAnsi="仿宋" w:eastAsia="仿宋_GB2312" w:cs="仿宋"/>
          <w:sz w:val="32"/>
          <w:szCs w:val="32"/>
        </w:rPr>
      </w:pPr>
    </w:p>
    <w:p w14:paraId="50A436B5">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ascii="仿宋" w:hAnsi="仿宋" w:eastAsia="仿宋" w:cs="仿宋"/>
          <w:b w:val="0"/>
          <w:bCs/>
          <w:w w:val="90"/>
          <w:kern w:val="2"/>
          <w:sz w:val="44"/>
          <w:szCs w:val="44"/>
          <w:lang w:val="en-US" w:eastAsia="zh-CN" w:bidi="ar-SA"/>
        </w:rPr>
      </w:pPr>
      <w:r>
        <w:rPr>
          <w:rFonts w:hint="eastAsia" w:ascii="仿宋_GB2312" w:hAnsi="仿宋" w:eastAsia="仿宋_GB2312" w:cs="仿宋"/>
          <w:sz w:val="32"/>
          <w:szCs w:val="32"/>
        </w:rPr>
        <w:t>附表</w:t>
      </w:r>
      <w:r>
        <w:rPr>
          <w:rFonts w:hint="eastAsia" w:ascii="仿宋_GB2312" w:hAnsi="仿宋" w:eastAsia="仿宋_GB2312" w:cs="仿宋"/>
          <w:sz w:val="32"/>
          <w:szCs w:val="32"/>
          <w:lang w:eastAsia="zh-CN"/>
        </w:rPr>
        <w:t>七</w:t>
      </w:r>
    </w:p>
    <w:p w14:paraId="12B8B97B">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黑体" w:hAnsi="黑体" w:eastAsia="黑体" w:cs="黑体"/>
          <w:b w:val="0"/>
          <w:bCs/>
          <w:snapToGrid w:val="0"/>
          <w:w w:val="100"/>
          <w:kern w:val="0"/>
          <w:sz w:val="40"/>
          <w:szCs w:val="40"/>
          <w:lang w:val="en-US" w:eastAsia="zh-CN" w:bidi="ar-SA"/>
        </w:rPr>
      </w:pPr>
      <w:r>
        <w:rPr>
          <w:rFonts w:hint="eastAsia" w:ascii="黑体" w:hAnsi="黑体" w:eastAsia="黑体" w:cs="黑体"/>
          <w:b w:val="0"/>
          <w:bCs/>
          <w:snapToGrid w:val="0"/>
          <w:w w:val="100"/>
          <w:kern w:val="0"/>
          <w:sz w:val="40"/>
          <w:szCs w:val="40"/>
          <w:lang w:val="en-US" w:eastAsia="zh-CN" w:bidi="ar-SA"/>
        </w:rPr>
        <w:t>西峡县2026年一般公共预算收支预算总表</w:t>
      </w:r>
    </w:p>
    <w:p w14:paraId="6F0C20BA">
      <w:pPr>
        <w:pStyle w:val="2"/>
        <w:keepNext w:val="0"/>
        <w:keepLines w:val="0"/>
        <w:pageBreakBefore w:val="0"/>
        <w:widowControl w:val="0"/>
        <w:kinsoku/>
        <w:wordWrap/>
        <w:overflowPunct/>
        <w:topLinePunct w:val="0"/>
        <w:autoSpaceDE/>
        <w:autoSpaceDN/>
        <w:bidi w:val="0"/>
        <w:adjustRightInd w:val="0"/>
        <w:snapToGrid w:val="0"/>
        <w:spacing w:line="400" w:lineRule="exact"/>
        <w:jc w:val="right"/>
        <w:textAlignment w:val="auto"/>
        <w:rPr>
          <w:rFonts w:hint="eastAsia"/>
          <w:lang w:val="en-US" w:eastAsia="zh-CN"/>
        </w:rPr>
      </w:pPr>
      <w:r>
        <w:rPr>
          <w:rFonts w:hint="eastAsia" w:ascii="仿宋_GB2312" w:hAnsi="仿宋" w:eastAsia="仿宋_GB2312" w:cs="仿宋"/>
          <w:sz w:val="32"/>
          <w:szCs w:val="32"/>
        </w:rPr>
        <w:t>单位</w:t>
      </w:r>
      <w:r>
        <w:rPr>
          <w:rFonts w:ascii="仿宋_GB2312" w:hAnsi="仿宋" w:eastAsia="仿宋_GB2312" w:cs="仿宋"/>
          <w:sz w:val="32"/>
          <w:szCs w:val="32"/>
        </w:rPr>
        <w:t>:</w:t>
      </w:r>
      <w:r>
        <w:rPr>
          <w:rFonts w:hint="eastAsia" w:ascii="仿宋_GB2312" w:hAnsi="仿宋" w:eastAsia="仿宋_GB2312" w:cs="仿宋"/>
          <w:sz w:val="32"/>
          <w:szCs w:val="32"/>
        </w:rPr>
        <w:t>万元</w:t>
      </w:r>
    </w:p>
    <w:tbl>
      <w:tblPr>
        <w:tblStyle w:val="13"/>
        <w:tblpPr w:leftFromText="180" w:rightFromText="180" w:vertAnchor="text" w:horzAnchor="page" w:tblpX="1574" w:tblpY="393"/>
        <w:tblOverlap w:val="never"/>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3555"/>
        <w:gridCol w:w="900"/>
        <w:gridCol w:w="2890"/>
        <w:gridCol w:w="899"/>
      </w:tblGrid>
      <w:tr w14:paraId="73E79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Align w:val="center"/>
          </w:tcPr>
          <w:p w14:paraId="6DD5F0FB">
            <w:pPr>
              <w:keepNext w:val="0"/>
              <w:keepLines w:val="0"/>
              <w:widowControl/>
              <w:suppressLineNumbers w:val="0"/>
              <w:jc w:val="center"/>
              <w:textAlignment w:val="center"/>
              <w:rPr>
                <w:rFonts w:ascii="黑体" w:hAnsi="仿宋" w:eastAsia="黑体" w:cs="仿宋"/>
                <w:bCs/>
                <w:sz w:val="24"/>
              </w:rPr>
            </w:pPr>
            <w:r>
              <w:rPr>
                <w:rFonts w:hint="eastAsia" w:ascii="黑体" w:hAnsi="宋体" w:eastAsia="黑体" w:cs="黑体"/>
                <w:i w:val="0"/>
                <w:iCs w:val="0"/>
                <w:color w:val="000000"/>
                <w:kern w:val="0"/>
                <w:sz w:val="24"/>
                <w:szCs w:val="24"/>
                <w:u w:val="none"/>
                <w:lang w:val="en-US" w:eastAsia="zh-CN" w:bidi="ar"/>
              </w:rPr>
              <w:t>序号</w:t>
            </w:r>
          </w:p>
        </w:tc>
        <w:tc>
          <w:tcPr>
            <w:tcW w:w="4455" w:type="dxa"/>
            <w:gridSpan w:val="2"/>
            <w:vAlign w:val="center"/>
          </w:tcPr>
          <w:p w14:paraId="6ED3E15B">
            <w:pPr>
              <w:keepNext w:val="0"/>
              <w:keepLines w:val="0"/>
              <w:widowControl/>
              <w:suppressLineNumbers w:val="0"/>
              <w:jc w:val="center"/>
              <w:textAlignment w:val="center"/>
              <w:rPr>
                <w:rFonts w:ascii="黑体" w:hAnsi="仿宋" w:eastAsia="黑体" w:cs="仿宋"/>
                <w:bCs/>
                <w:sz w:val="24"/>
              </w:rPr>
            </w:pPr>
            <w:r>
              <w:rPr>
                <w:rFonts w:hint="eastAsia" w:ascii="黑体" w:hAnsi="宋体" w:eastAsia="黑体" w:cs="黑体"/>
                <w:i w:val="0"/>
                <w:iCs w:val="0"/>
                <w:color w:val="000000"/>
                <w:kern w:val="0"/>
                <w:sz w:val="24"/>
                <w:szCs w:val="24"/>
                <w:u w:val="none"/>
                <w:lang w:val="en-US" w:eastAsia="zh-CN" w:bidi="ar"/>
              </w:rPr>
              <w:t>收入</w:t>
            </w:r>
          </w:p>
        </w:tc>
        <w:tc>
          <w:tcPr>
            <w:tcW w:w="3789" w:type="dxa"/>
            <w:gridSpan w:val="2"/>
            <w:vAlign w:val="center"/>
          </w:tcPr>
          <w:p w14:paraId="630372A0">
            <w:pPr>
              <w:keepNext w:val="0"/>
              <w:keepLines w:val="0"/>
              <w:widowControl/>
              <w:suppressLineNumbers w:val="0"/>
              <w:jc w:val="center"/>
              <w:textAlignment w:val="center"/>
              <w:rPr>
                <w:rFonts w:ascii="黑体" w:hAnsi="仿宋" w:eastAsia="黑体" w:cs="仿宋"/>
                <w:bCs/>
                <w:sz w:val="24"/>
              </w:rPr>
            </w:pPr>
            <w:r>
              <w:rPr>
                <w:rFonts w:hint="eastAsia" w:ascii="黑体" w:hAnsi="宋体" w:eastAsia="黑体" w:cs="黑体"/>
                <w:i w:val="0"/>
                <w:iCs w:val="0"/>
                <w:color w:val="000000"/>
                <w:kern w:val="0"/>
                <w:sz w:val="24"/>
                <w:szCs w:val="24"/>
                <w:u w:val="none"/>
                <w:lang w:val="en-US" w:eastAsia="zh-CN" w:bidi="ar"/>
              </w:rPr>
              <w:t>支出</w:t>
            </w:r>
          </w:p>
        </w:tc>
      </w:tr>
      <w:tr w14:paraId="1450D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Align w:val="center"/>
          </w:tcPr>
          <w:p w14:paraId="0BD57401">
            <w:pPr>
              <w:keepNext w:val="0"/>
              <w:keepLines w:val="0"/>
              <w:widowControl/>
              <w:suppressLineNumbers w:val="0"/>
              <w:jc w:val="center"/>
              <w:textAlignment w:val="center"/>
              <w:rPr>
                <w:rFonts w:ascii="仿宋_GB2312" w:hAnsi="仿宋" w:eastAsia="仿宋_GB2312" w:cs="仿宋"/>
                <w:szCs w:val="21"/>
              </w:rPr>
            </w:pPr>
            <w:r>
              <w:rPr>
                <w:rFonts w:hint="eastAsia" w:ascii="仿宋_GB2312" w:hAnsi="宋体" w:eastAsia="仿宋_GB2312" w:cs="仿宋_GB2312"/>
                <w:i w:val="0"/>
                <w:iCs w:val="0"/>
                <w:color w:val="000000"/>
                <w:kern w:val="0"/>
                <w:sz w:val="21"/>
                <w:szCs w:val="21"/>
                <w:u w:val="none"/>
                <w:lang w:val="en-US" w:eastAsia="zh-CN" w:bidi="ar"/>
              </w:rPr>
              <w:t>1</w:t>
            </w:r>
          </w:p>
        </w:tc>
        <w:tc>
          <w:tcPr>
            <w:tcW w:w="3555" w:type="dxa"/>
            <w:vAlign w:val="center"/>
          </w:tcPr>
          <w:p w14:paraId="259D03C7">
            <w:pPr>
              <w:keepNext w:val="0"/>
              <w:keepLines w:val="0"/>
              <w:widowControl/>
              <w:suppressLineNumbers w:val="0"/>
              <w:jc w:val="center"/>
              <w:textAlignment w:val="center"/>
              <w:rPr>
                <w:rFonts w:ascii="仿宋_GB2312" w:hAnsi="仿宋" w:eastAsia="仿宋_GB2312" w:cs="仿宋"/>
                <w:b/>
                <w:bCs/>
                <w:szCs w:val="21"/>
              </w:rPr>
            </w:pPr>
            <w:r>
              <w:rPr>
                <w:rFonts w:hint="eastAsia" w:ascii="仿宋_GB2312" w:hAnsi="宋体" w:eastAsia="仿宋_GB2312" w:cs="仿宋_GB2312"/>
                <w:b/>
                <w:bCs/>
                <w:i w:val="0"/>
                <w:iCs w:val="0"/>
                <w:color w:val="000000"/>
                <w:kern w:val="0"/>
                <w:sz w:val="21"/>
                <w:szCs w:val="21"/>
                <w:u w:val="none"/>
                <w:lang w:val="en-US" w:eastAsia="zh-CN" w:bidi="ar"/>
              </w:rPr>
              <w:t>　一般预算收入　</w:t>
            </w:r>
          </w:p>
        </w:tc>
        <w:tc>
          <w:tcPr>
            <w:tcW w:w="900" w:type="dxa"/>
            <w:vAlign w:val="center"/>
          </w:tcPr>
          <w:p w14:paraId="4F7E5D92">
            <w:pPr>
              <w:keepNext w:val="0"/>
              <w:keepLines w:val="0"/>
              <w:widowControl/>
              <w:suppressLineNumbers w:val="0"/>
              <w:jc w:val="center"/>
              <w:textAlignment w:val="center"/>
              <w:rPr>
                <w:rFonts w:ascii="仿宋_GB2312" w:hAnsi="仿宋" w:eastAsia="仿宋_GB2312" w:cs="仿宋"/>
                <w:b/>
                <w:bCs/>
                <w:szCs w:val="21"/>
              </w:rPr>
            </w:pPr>
            <w:r>
              <w:rPr>
                <w:rFonts w:hint="eastAsia" w:ascii="仿宋_GB2312" w:hAnsi="宋体" w:eastAsia="仿宋_GB2312" w:cs="仿宋_GB2312"/>
                <w:b/>
                <w:bCs/>
                <w:i w:val="0"/>
                <w:iCs w:val="0"/>
                <w:color w:val="000000"/>
                <w:kern w:val="0"/>
                <w:sz w:val="21"/>
                <w:szCs w:val="21"/>
                <w:u w:val="none"/>
                <w:lang w:val="en-US" w:eastAsia="zh-CN" w:bidi="ar"/>
              </w:rPr>
              <w:t>预算数</w:t>
            </w:r>
          </w:p>
        </w:tc>
        <w:tc>
          <w:tcPr>
            <w:tcW w:w="2890" w:type="dxa"/>
            <w:vAlign w:val="center"/>
          </w:tcPr>
          <w:p w14:paraId="544E7FB9">
            <w:pPr>
              <w:keepNext w:val="0"/>
              <w:keepLines w:val="0"/>
              <w:widowControl/>
              <w:suppressLineNumbers w:val="0"/>
              <w:jc w:val="center"/>
              <w:textAlignment w:val="center"/>
              <w:rPr>
                <w:rFonts w:ascii="仿宋_GB2312" w:hAnsi="仿宋" w:eastAsia="仿宋_GB2312" w:cs="仿宋"/>
                <w:b/>
                <w:bCs/>
                <w:szCs w:val="21"/>
              </w:rPr>
            </w:pPr>
            <w:r>
              <w:rPr>
                <w:rFonts w:hint="eastAsia" w:ascii="仿宋_GB2312" w:hAnsi="宋体" w:eastAsia="仿宋_GB2312" w:cs="仿宋_GB2312"/>
                <w:b/>
                <w:bCs/>
                <w:i w:val="0"/>
                <w:iCs w:val="0"/>
                <w:color w:val="000000"/>
                <w:kern w:val="0"/>
                <w:sz w:val="21"/>
                <w:szCs w:val="21"/>
                <w:u w:val="none"/>
                <w:lang w:val="en-US" w:eastAsia="zh-CN" w:bidi="ar"/>
              </w:rPr>
              <w:t>　一般预算支出　</w:t>
            </w:r>
          </w:p>
        </w:tc>
        <w:tc>
          <w:tcPr>
            <w:tcW w:w="899" w:type="dxa"/>
            <w:vAlign w:val="center"/>
          </w:tcPr>
          <w:p w14:paraId="2A30C0D0">
            <w:pPr>
              <w:keepNext w:val="0"/>
              <w:keepLines w:val="0"/>
              <w:widowControl/>
              <w:suppressLineNumbers w:val="0"/>
              <w:jc w:val="center"/>
              <w:textAlignment w:val="center"/>
              <w:rPr>
                <w:rFonts w:ascii="仿宋_GB2312" w:hAnsi="仿宋" w:eastAsia="仿宋_GB2312" w:cs="仿宋"/>
                <w:b/>
                <w:bCs/>
                <w:szCs w:val="21"/>
              </w:rPr>
            </w:pPr>
            <w:r>
              <w:rPr>
                <w:rFonts w:hint="eastAsia" w:ascii="仿宋_GB2312" w:hAnsi="宋体" w:eastAsia="仿宋_GB2312" w:cs="仿宋_GB2312"/>
                <w:b/>
                <w:bCs/>
                <w:i w:val="0"/>
                <w:iCs w:val="0"/>
                <w:color w:val="000000"/>
                <w:kern w:val="0"/>
                <w:sz w:val="21"/>
                <w:szCs w:val="21"/>
                <w:u w:val="none"/>
                <w:lang w:val="en-US" w:eastAsia="zh-CN" w:bidi="ar"/>
              </w:rPr>
              <w:t>预算数</w:t>
            </w:r>
          </w:p>
        </w:tc>
      </w:tr>
      <w:tr w14:paraId="71436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Align w:val="center"/>
          </w:tcPr>
          <w:p w14:paraId="60E6D480">
            <w:pPr>
              <w:keepNext w:val="0"/>
              <w:keepLines w:val="0"/>
              <w:widowControl/>
              <w:suppressLineNumbers w:val="0"/>
              <w:jc w:val="center"/>
              <w:textAlignment w:val="center"/>
              <w:rPr>
                <w:rFonts w:ascii="仿宋_GB2312" w:hAnsi="仿宋" w:eastAsia="仿宋_GB2312" w:cs="仿宋"/>
                <w:szCs w:val="21"/>
              </w:rPr>
            </w:pPr>
            <w:r>
              <w:rPr>
                <w:rFonts w:hint="eastAsia" w:ascii="仿宋_GB2312" w:hAnsi="宋体" w:eastAsia="仿宋_GB2312" w:cs="仿宋_GB2312"/>
                <w:i w:val="0"/>
                <w:iCs w:val="0"/>
                <w:color w:val="000000"/>
                <w:kern w:val="0"/>
                <w:sz w:val="21"/>
                <w:szCs w:val="21"/>
                <w:u w:val="none"/>
                <w:lang w:val="en-US" w:eastAsia="zh-CN" w:bidi="ar"/>
              </w:rPr>
              <w:t>2</w:t>
            </w:r>
          </w:p>
        </w:tc>
        <w:tc>
          <w:tcPr>
            <w:tcW w:w="3555" w:type="dxa"/>
            <w:vAlign w:val="center"/>
          </w:tcPr>
          <w:p w14:paraId="3076E622">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b/>
                <w:bCs/>
                <w:i w:val="0"/>
                <w:iCs w:val="0"/>
                <w:color w:val="000000"/>
                <w:kern w:val="0"/>
                <w:sz w:val="21"/>
                <w:szCs w:val="21"/>
                <w:u w:val="none"/>
                <w:lang w:val="en-US" w:eastAsia="zh-CN" w:bidi="ar"/>
              </w:rPr>
              <w:t>税收收入</w:t>
            </w:r>
          </w:p>
        </w:tc>
        <w:tc>
          <w:tcPr>
            <w:tcW w:w="900" w:type="dxa"/>
            <w:vAlign w:val="center"/>
          </w:tcPr>
          <w:p w14:paraId="6E61EE96">
            <w:pPr>
              <w:keepNext w:val="0"/>
              <w:keepLines w:val="0"/>
              <w:widowControl/>
              <w:suppressLineNumbers w:val="0"/>
              <w:jc w:val="left"/>
              <w:textAlignment w:val="center"/>
              <w:rPr>
                <w:rFonts w:hint="default" w:ascii="仿宋_GB2312" w:hAnsi="仿宋" w:eastAsia="仿宋_GB2312" w:cs="仿宋"/>
                <w:bCs/>
                <w:szCs w:val="21"/>
                <w:highlight w:val="yellow"/>
                <w:lang w:val="en-US"/>
              </w:rPr>
            </w:pPr>
            <w:r>
              <w:rPr>
                <w:rFonts w:hint="eastAsia" w:ascii="仿宋_GB2312" w:hAnsi="宋体" w:eastAsia="仿宋_GB2312" w:cs="仿宋_GB2312"/>
                <w:b/>
                <w:bCs/>
                <w:i w:val="0"/>
                <w:iCs w:val="0"/>
                <w:color w:val="000000"/>
                <w:kern w:val="0"/>
                <w:sz w:val="21"/>
                <w:szCs w:val="21"/>
                <w:highlight w:val="yellow"/>
                <w:u w:val="none"/>
                <w:lang w:val="en-US" w:eastAsia="zh-CN" w:bidi="ar"/>
              </w:rPr>
              <w:t>154200</w:t>
            </w:r>
          </w:p>
        </w:tc>
        <w:tc>
          <w:tcPr>
            <w:tcW w:w="2890" w:type="dxa"/>
            <w:vAlign w:val="center"/>
          </w:tcPr>
          <w:p w14:paraId="4A9F7E5B">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一般公共服务支出</w:t>
            </w:r>
          </w:p>
        </w:tc>
        <w:tc>
          <w:tcPr>
            <w:tcW w:w="899" w:type="dxa"/>
            <w:vAlign w:val="center"/>
          </w:tcPr>
          <w:p w14:paraId="41B4389C">
            <w:pPr>
              <w:keepNext w:val="0"/>
              <w:keepLines w:val="0"/>
              <w:widowControl/>
              <w:suppressLineNumbers w:val="0"/>
              <w:jc w:val="left"/>
              <w:textAlignment w:val="center"/>
              <w:rPr>
                <w:rFonts w:hint="default" w:ascii="仿宋_GB2312" w:hAnsi="仿宋" w:eastAsia="仿宋_GB2312" w:cs="仿宋"/>
                <w:bCs/>
                <w:szCs w:val="21"/>
                <w:lang w:val="en-US"/>
              </w:rPr>
            </w:pPr>
            <w:r>
              <w:rPr>
                <w:rFonts w:hint="eastAsia" w:ascii="仿宋_GB2312" w:hAnsi="宋体" w:eastAsia="仿宋_GB2312" w:cs="仿宋_GB2312"/>
                <w:i w:val="0"/>
                <w:iCs w:val="0"/>
                <w:color w:val="000000"/>
                <w:kern w:val="0"/>
                <w:sz w:val="21"/>
                <w:szCs w:val="21"/>
                <w:u w:val="none"/>
                <w:lang w:val="en-US" w:eastAsia="zh-CN" w:bidi="ar"/>
              </w:rPr>
              <w:t>6710</w:t>
            </w:r>
          </w:p>
        </w:tc>
      </w:tr>
      <w:tr w14:paraId="3FF2B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Align w:val="center"/>
          </w:tcPr>
          <w:p w14:paraId="116F3BF6">
            <w:pPr>
              <w:keepNext w:val="0"/>
              <w:keepLines w:val="0"/>
              <w:widowControl/>
              <w:suppressLineNumbers w:val="0"/>
              <w:jc w:val="center"/>
              <w:textAlignment w:val="center"/>
              <w:rPr>
                <w:rFonts w:ascii="仿宋_GB2312" w:hAnsi="仿宋" w:eastAsia="仿宋_GB2312" w:cs="仿宋"/>
                <w:szCs w:val="21"/>
              </w:rPr>
            </w:pPr>
            <w:r>
              <w:rPr>
                <w:rFonts w:hint="eastAsia" w:ascii="仿宋_GB2312" w:hAnsi="宋体" w:eastAsia="仿宋_GB2312" w:cs="仿宋_GB2312"/>
                <w:i w:val="0"/>
                <w:iCs w:val="0"/>
                <w:color w:val="000000"/>
                <w:kern w:val="0"/>
                <w:sz w:val="21"/>
                <w:szCs w:val="21"/>
                <w:u w:val="none"/>
                <w:lang w:val="en-US" w:eastAsia="zh-CN" w:bidi="ar"/>
              </w:rPr>
              <w:t>3</w:t>
            </w:r>
          </w:p>
        </w:tc>
        <w:tc>
          <w:tcPr>
            <w:tcW w:w="3555" w:type="dxa"/>
            <w:vAlign w:val="center"/>
          </w:tcPr>
          <w:p w14:paraId="50841D0B">
            <w:pPr>
              <w:keepNext w:val="0"/>
              <w:keepLines w:val="0"/>
              <w:widowControl/>
              <w:suppressLineNumbers w:val="0"/>
              <w:ind w:firstLine="210" w:firstLineChars="10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增值税</w:t>
            </w:r>
          </w:p>
        </w:tc>
        <w:tc>
          <w:tcPr>
            <w:tcW w:w="900" w:type="dxa"/>
            <w:vAlign w:val="center"/>
          </w:tcPr>
          <w:p w14:paraId="488633A3">
            <w:pPr>
              <w:keepNext w:val="0"/>
              <w:keepLines w:val="0"/>
              <w:widowControl/>
              <w:suppressLineNumbers w:val="0"/>
              <w:jc w:val="left"/>
              <w:textAlignment w:val="center"/>
              <w:rPr>
                <w:rFonts w:hint="default" w:ascii="仿宋_GB2312" w:hAnsi="仿宋" w:eastAsia="仿宋_GB2312" w:cs="仿宋"/>
                <w:bCs/>
                <w:szCs w:val="21"/>
                <w:highlight w:val="yellow"/>
                <w:lang w:val="en-US" w:eastAsia="zh-CN"/>
              </w:rPr>
            </w:pPr>
            <w:r>
              <w:rPr>
                <w:rFonts w:hint="eastAsia" w:ascii="仿宋_GB2312" w:hAnsi="宋体" w:eastAsia="仿宋_GB2312" w:cs="仿宋_GB2312"/>
                <w:i w:val="0"/>
                <w:iCs w:val="0"/>
                <w:color w:val="000000"/>
                <w:kern w:val="0"/>
                <w:sz w:val="21"/>
                <w:szCs w:val="21"/>
                <w:highlight w:val="yellow"/>
                <w:u w:val="none"/>
                <w:lang w:val="en-US" w:eastAsia="zh-CN" w:bidi="ar"/>
              </w:rPr>
              <w:t>101745</w:t>
            </w:r>
          </w:p>
        </w:tc>
        <w:tc>
          <w:tcPr>
            <w:tcW w:w="2890" w:type="dxa"/>
            <w:vAlign w:val="center"/>
          </w:tcPr>
          <w:p w14:paraId="526BCABE">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国防支出</w:t>
            </w:r>
          </w:p>
        </w:tc>
        <w:tc>
          <w:tcPr>
            <w:tcW w:w="899" w:type="dxa"/>
            <w:vAlign w:val="center"/>
          </w:tcPr>
          <w:p w14:paraId="31E36E49">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49</w:t>
            </w:r>
          </w:p>
        </w:tc>
      </w:tr>
      <w:tr w14:paraId="0CDC9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Align w:val="center"/>
          </w:tcPr>
          <w:p w14:paraId="7761B02F">
            <w:pPr>
              <w:keepNext w:val="0"/>
              <w:keepLines w:val="0"/>
              <w:widowControl/>
              <w:suppressLineNumbers w:val="0"/>
              <w:jc w:val="center"/>
              <w:textAlignment w:val="center"/>
              <w:rPr>
                <w:rFonts w:ascii="仿宋_GB2312" w:hAnsi="仿宋" w:eastAsia="仿宋_GB2312" w:cs="仿宋"/>
                <w:szCs w:val="21"/>
              </w:rPr>
            </w:pPr>
            <w:r>
              <w:rPr>
                <w:rFonts w:hint="eastAsia" w:ascii="仿宋_GB2312" w:hAnsi="宋体" w:eastAsia="仿宋_GB2312" w:cs="仿宋_GB2312"/>
                <w:i w:val="0"/>
                <w:iCs w:val="0"/>
                <w:color w:val="000000"/>
                <w:kern w:val="0"/>
                <w:sz w:val="21"/>
                <w:szCs w:val="21"/>
                <w:u w:val="none"/>
                <w:lang w:val="en-US" w:eastAsia="zh-CN" w:bidi="ar"/>
              </w:rPr>
              <w:t>4</w:t>
            </w:r>
          </w:p>
        </w:tc>
        <w:tc>
          <w:tcPr>
            <w:tcW w:w="3555" w:type="dxa"/>
            <w:vAlign w:val="center"/>
          </w:tcPr>
          <w:p w14:paraId="07B8E237">
            <w:pPr>
              <w:keepNext w:val="0"/>
              <w:keepLines w:val="0"/>
              <w:widowControl/>
              <w:suppressLineNumbers w:val="0"/>
              <w:ind w:firstLine="210" w:firstLineChars="10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企业所得税</w:t>
            </w:r>
          </w:p>
        </w:tc>
        <w:tc>
          <w:tcPr>
            <w:tcW w:w="900" w:type="dxa"/>
            <w:vAlign w:val="center"/>
          </w:tcPr>
          <w:p w14:paraId="33F8CDFF">
            <w:pPr>
              <w:keepNext w:val="0"/>
              <w:keepLines w:val="0"/>
              <w:widowControl/>
              <w:suppressLineNumbers w:val="0"/>
              <w:jc w:val="left"/>
              <w:textAlignment w:val="center"/>
              <w:rPr>
                <w:rFonts w:hint="default" w:ascii="仿宋_GB2312" w:hAnsi="仿宋" w:eastAsia="仿宋_GB2312" w:cs="仿宋"/>
                <w:bCs/>
                <w:szCs w:val="21"/>
                <w:lang w:val="en-US" w:eastAsia="zh-CN"/>
              </w:rPr>
            </w:pPr>
            <w:r>
              <w:rPr>
                <w:rFonts w:hint="eastAsia" w:ascii="仿宋_GB2312" w:hAnsi="宋体" w:eastAsia="仿宋_GB2312" w:cs="仿宋_GB2312"/>
                <w:i w:val="0"/>
                <w:iCs w:val="0"/>
                <w:color w:val="000000"/>
                <w:kern w:val="0"/>
                <w:sz w:val="21"/>
                <w:szCs w:val="21"/>
                <w:u w:val="none"/>
                <w:lang w:val="en-US" w:eastAsia="zh-CN" w:bidi="ar"/>
              </w:rPr>
              <w:t>11393</w:t>
            </w:r>
          </w:p>
        </w:tc>
        <w:tc>
          <w:tcPr>
            <w:tcW w:w="2890" w:type="dxa"/>
            <w:vAlign w:val="center"/>
          </w:tcPr>
          <w:p w14:paraId="625D1A2A">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公共安全支出</w:t>
            </w:r>
          </w:p>
        </w:tc>
        <w:tc>
          <w:tcPr>
            <w:tcW w:w="899" w:type="dxa"/>
            <w:vAlign w:val="center"/>
          </w:tcPr>
          <w:p w14:paraId="0892AB64">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5334</w:t>
            </w:r>
          </w:p>
        </w:tc>
      </w:tr>
      <w:tr w14:paraId="6D8A4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Align w:val="center"/>
          </w:tcPr>
          <w:p w14:paraId="32CD2C47">
            <w:pPr>
              <w:keepNext w:val="0"/>
              <w:keepLines w:val="0"/>
              <w:widowControl/>
              <w:suppressLineNumbers w:val="0"/>
              <w:jc w:val="center"/>
              <w:textAlignment w:val="center"/>
              <w:rPr>
                <w:rFonts w:ascii="仿宋_GB2312" w:hAnsi="仿宋" w:eastAsia="仿宋_GB2312" w:cs="仿宋"/>
                <w:szCs w:val="21"/>
              </w:rPr>
            </w:pPr>
            <w:r>
              <w:rPr>
                <w:rFonts w:hint="eastAsia" w:ascii="仿宋_GB2312" w:hAnsi="宋体" w:eastAsia="仿宋_GB2312" w:cs="仿宋_GB2312"/>
                <w:i w:val="0"/>
                <w:iCs w:val="0"/>
                <w:color w:val="000000"/>
                <w:kern w:val="0"/>
                <w:sz w:val="21"/>
                <w:szCs w:val="21"/>
                <w:u w:val="none"/>
                <w:lang w:val="en-US" w:eastAsia="zh-CN" w:bidi="ar"/>
              </w:rPr>
              <w:t>5</w:t>
            </w:r>
          </w:p>
        </w:tc>
        <w:tc>
          <w:tcPr>
            <w:tcW w:w="3555" w:type="dxa"/>
            <w:vAlign w:val="center"/>
          </w:tcPr>
          <w:p w14:paraId="03D4EC51">
            <w:pPr>
              <w:keepNext w:val="0"/>
              <w:keepLines w:val="0"/>
              <w:widowControl/>
              <w:suppressLineNumbers w:val="0"/>
              <w:ind w:firstLine="210" w:firstLineChars="10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个人所得税</w:t>
            </w:r>
          </w:p>
        </w:tc>
        <w:tc>
          <w:tcPr>
            <w:tcW w:w="900" w:type="dxa"/>
            <w:vAlign w:val="center"/>
          </w:tcPr>
          <w:p w14:paraId="7D2A0C24">
            <w:pPr>
              <w:keepNext w:val="0"/>
              <w:keepLines w:val="0"/>
              <w:widowControl/>
              <w:suppressLineNumbers w:val="0"/>
              <w:jc w:val="left"/>
              <w:textAlignment w:val="center"/>
              <w:rPr>
                <w:rFonts w:hint="default" w:ascii="仿宋_GB2312" w:hAnsi="仿宋" w:eastAsia="仿宋_GB2312" w:cs="仿宋"/>
                <w:bCs/>
                <w:szCs w:val="21"/>
                <w:lang w:val="en-US" w:eastAsia="zh-CN"/>
              </w:rPr>
            </w:pPr>
            <w:r>
              <w:rPr>
                <w:rFonts w:hint="eastAsia" w:ascii="仿宋_GB2312" w:hAnsi="宋体" w:eastAsia="仿宋_GB2312" w:cs="仿宋_GB2312"/>
                <w:i w:val="0"/>
                <w:iCs w:val="0"/>
                <w:color w:val="000000"/>
                <w:kern w:val="0"/>
                <w:sz w:val="21"/>
                <w:szCs w:val="21"/>
                <w:u w:val="none"/>
                <w:lang w:val="en-US" w:eastAsia="zh-CN" w:bidi="ar"/>
              </w:rPr>
              <w:t>4831</w:t>
            </w:r>
          </w:p>
        </w:tc>
        <w:tc>
          <w:tcPr>
            <w:tcW w:w="2890" w:type="dxa"/>
            <w:vAlign w:val="center"/>
          </w:tcPr>
          <w:p w14:paraId="6C78A196">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教育支出</w:t>
            </w:r>
          </w:p>
        </w:tc>
        <w:tc>
          <w:tcPr>
            <w:tcW w:w="899" w:type="dxa"/>
            <w:vAlign w:val="center"/>
          </w:tcPr>
          <w:p w14:paraId="1794EBC8">
            <w:pPr>
              <w:keepNext w:val="0"/>
              <w:keepLines w:val="0"/>
              <w:widowControl/>
              <w:suppressLineNumbers w:val="0"/>
              <w:jc w:val="left"/>
              <w:textAlignment w:val="center"/>
              <w:rPr>
                <w:rFonts w:hint="default" w:ascii="仿宋_GB2312" w:hAnsi="仿宋" w:eastAsia="仿宋_GB2312" w:cs="仿宋"/>
                <w:bCs/>
                <w:szCs w:val="21"/>
                <w:lang w:val="en-US"/>
              </w:rPr>
            </w:pPr>
            <w:r>
              <w:rPr>
                <w:rFonts w:hint="eastAsia" w:ascii="仿宋_GB2312" w:hAnsi="宋体" w:eastAsia="仿宋_GB2312" w:cs="仿宋_GB2312"/>
                <w:i w:val="0"/>
                <w:iCs w:val="0"/>
                <w:color w:val="000000"/>
                <w:kern w:val="0"/>
                <w:sz w:val="21"/>
                <w:szCs w:val="21"/>
                <w:u w:val="none"/>
                <w:lang w:val="en-US" w:eastAsia="zh-CN" w:bidi="ar"/>
              </w:rPr>
              <w:t>108368</w:t>
            </w:r>
          </w:p>
        </w:tc>
      </w:tr>
      <w:tr w14:paraId="5CD28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Align w:val="center"/>
          </w:tcPr>
          <w:p w14:paraId="42D2344C">
            <w:pPr>
              <w:keepNext w:val="0"/>
              <w:keepLines w:val="0"/>
              <w:widowControl/>
              <w:suppressLineNumbers w:val="0"/>
              <w:jc w:val="center"/>
              <w:textAlignment w:val="center"/>
              <w:rPr>
                <w:rFonts w:ascii="仿宋_GB2312" w:hAnsi="仿宋" w:eastAsia="仿宋_GB2312" w:cs="仿宋"/>
                <w:szCs w:val="21"/>
              </w:rPr>
            </w:pPr>
            <w:r>
              <w:rPr>
                <w:rFonts w:hint="eastAsia" w:ascii="仿宋_GB2312" w:hAnsi="宋体" w:eastAsia="仿宋_GB2312" w:cs="仿宋_GB2312"/>
                <w:i w:val="0"/>
                <w:iCs w:val="0"/>
                <w:color w:val="000000"/>
                <w:kern w:val="0"/>
                <w:sz w:val="21"/>
                <w:szCs w:val="21"/>
                <w:u w:val="none"/>
                <w:lang w:val="en-US" w:eastAsia="zh-CN" w:bidi="ar"/>
              </w:rPr>
              <w:t>6</w:t>
            </w:r>
          </w:p>
        </w:tc>
        <w:tc>
          <w:tcPr>
            <w:tcW w:w="3555" w:type="dxa"/>
            <w:vAlign w:val="center"/>
          </w:tcPr>
          <w:p w14:paraId="0FA0F6FB">
            <w:pPr>
              <w:keepNext w:val="0"/>
              <w:keepLines w:val="0"/>
              <w:widowControl/>
              <w:suppressLineNumbers w:val="0"/>
              <w:ind w:firstLine="210" w:firstLineChars="10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城市维护建设税</w:t>
            </w:r>
          </w:p>
        </w:tc>
        <w:tc>
          <w:tcPr>
            <w:tcW w:w="900" w:type="dxa"/>
            <w:vAlign w:val="center"/>
          </w:tcPr>
          <w:p w14:paraId="53E638E7">
            <w:pPr>
              <w:keepNext w:val="0"/>
              <w:keepLines w:val="0"/>
              <w:widowControl/>
              <w:suppressLineNumbers w:val="0"/>
              <w:jc w:val="left"/>
              <w:textAlignment w:val="center"/>
              <w:rPr>
                <w:rFonts w:hint="default" w:ascii="仿宋_GB2312" w:hAnsi="仿宋" w:eastAsia="仿宋_GB2312" w:cs="仿宋"/>
                <w:bCs/>
                <w:szCs w:val="21"/>
                <w:lang w:val="en-US" w:eastAsia="zh-CN"/>
              </w:rPr>
            </w:pPr>
            <w:r>
              <w:rPr>
                <w:rFonts w:hint="eastAsia" w:ascii="仿宋_GB2312" w:hAnsi="宋体" w:eastAsia="仿宋_GB2312" w:cs="仿宋_GB2312"/>
                <w:i w:val="0"/>
                <w:iCs w:val="0"/>
                <w:color w:val="000000"/>
                <w:kern w:val="0"/>
                <w:sz w:val="21"/>
                <w:szCs w:val="21"/>
                <w:u w:val="none"/>
                <w:lang w:val="en-US" w:eastAsia="zh-CN" w:bidi="ar"/>
              </w:rPr>
              <w:t>8826</w:t>
            </w:r>
          </w:p>
        </w:tc>
        <w:tc>
          <w:tcPr>
            <w:tcW w:w="2890" w:type="dxa"/>
            <w:vAlign w:val="center"/>
          </w:tcPr>
          <w:p w14:paraId="79C154BA">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科学技术支出</w:t>
            </w:r>
          </w:p>
        </w:tc>
        <w:tc>
          <w:tcPr>
            <w:tcW w:w="899" w:type="dxa"/>
            <w:vAlign w:val="center"/>
          </w:tcPr>
          <w:p w14:paraId="077D0962">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11891</w:t>
            </w:r>
          </w:p>
        </w:tc>
      </w:tr>
      <w:tr w14:paraId="73A87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Align w:val="center"/>
          </w:tcPr>
          <w:p w14:paraId="54C62852">
            <w:pPr>
              <w:keepNext w:val="0"/>
              <w:keepLines w:val="0"/>
              <w:widowControl/>
              <w:suppressLineNumbers w:val="0"/>
              <w:jc w:val="center"/>
              <w:textAlignment w:val="center"/>
              <w:rPr>
                <w:rFonts w:ascii="仿宋_GB2312" w:hAnsi="仿宋" w:eastAsia="仿宋_GB2312" w:cs="仿宋"/>
                <w:szCs w:val="21"/>
              </w:rPr>
            </w:pPr>
            <w:r>
              <w:rPr>
                <w:rFonts w:hint="eastAsia" w:ascii="仿宋_GB2312" w:hAnsi="宋体" w:eastAsia="仿宋_GB2312" w:cs="仿宋_GB2312"/>
                <w:i w:val="0"/>
                <w:iCs w:val="0"/>
                <w:color w:val="000000"/>
                <w:kern w:val="0"/>
                <w:sz w:val="21"/>
                <w:szCs w:val="21"/>
                <w:u w:val="none"/>
                <w:lang w:val="en-US" w:eastAsia="zh-CN" w:bidi="ar"/>
              </w:rPr>
              <w:t>7</w:t>
            </w:r>
          </w:p>
        </w:tc>
        <w:tc>
          <w:tcPr>
            <w:tcW w:w="3555" w:type="dxa"/>
            <w:vAlign w:val="center"/>
          </w:tcPr>
          <w:p w14:paraId="45E460E5">
            <w:pPr>
              <w:keepNext w:val="0"/>
              <w:keepLines w:val="0"/>
              <w:widowControl/>
              <w:suppressLineNumbers w:val="0"/>
              <w:ind w:firstLine="210" w:firstLineChars="10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房产税</w:t>
            </w:r>
          </w:p>
        </w:tc>
        <w:tc>
          <w:tcPr>
            <w:tcW w:w="900" w:type="dxa"/>
            <w:vAlign w:val="center"/>
          </w:tcPr>
          <w:p w14:paraId="036A1ABC">
            <w:pPr>
              <w:keepNext w:val="0"/>
              <w:keepLines w:val="0"/>
              <w:widowControl/>
              <w:suppressLineNumbers w:val="0"/>
              <w:jc w:val="left"/>
              <w:textAlignment w:val="center"/>
              <w:rPr>
                <w:rFonts w:hint="default" w:ascii="仿宋_GB2312" w:hAnsi="仿宋" w:eastAsia="仿宋_GB2312" w:cs="仿宋"/>
                <w:bCs/>
                <w:szCs w:val="21"/>
                <w:lang w:val="en-US" w:eastAsia="zh-CN"/>
              </w:rPr>
            </w:pPr>
            <w:r>
              <w:rPr>
                <w:rFonts w:hint="eastAsia" w:ascii="仿宋_GB2312" w:hAnsi="宋体" w:eastAsia="仿宋_GB2312" w:cs="仿宋_GB2312"/>
                <w:i w:val="0"/>
                <w:iCs w:val="0"/>
                <w:color w:val="000000"/>
                <w:kern w:val="0"/>
                <w:sz w:val="21"/>
                <w:szCs w:val="21"/>
                <w:u w:val="none"/>
                <w:lang w:val="en-US" w:eastAsia="zh-CN" w:bidi="ar"/>
              </w:rPr>
              <w:t>4680</w:t>
            </w:r>
          </w:p>
        </w:tc>
        <w:tc>
          <w:tcPr>
            <w:tcW w:w="2890" w:type="dxa"/>
            <w:vAlign w:val="center"/>
          </w:tcPr>
          <w:p w14:paraId="0D4B71FD">
            <w:pPr>
              <w:keepNext w:val="0"/>
              <w:keepLines w:val="0"/>
              <w:pageBreakBefore w:val="0"/>
              <w:widowControl w:val="0"/>
              <w:suppressLineNumbers w:val="0"/>
              <w:kinsoku/>
              <w:wordWrap/>
              <w:overflowPunct/>
              <w:topLinePunct/>
              <w:autoSpaceDE w:val="0"/>
              <w:autoSpaceDN/>
              <w:bidi w:val="0"/>
              <w:adjustRightInd/>
              <w:snapToGrid/>
              <w:spacing w:line="280" w:lineRule="exact"/>
              <w:jc w:val="left"/>
              <w:textAlignment w:val="center"/>
              <w:rPr>
                <w:rFonts w:hint="eastAsia" w:ascii="仿宋_GB2312" w:hAnsi="宋体" w:eastAsia="仿宋_GB2312" w:cs="仿宋_GB2312"/>
                <w:i w:val="0"/>
                <w:iCs w:val="0"/>
                <w:color w:val="000000"/>
                <w:kern w:val="0"/>
                <w:sz w:val="21"/>
                <w:szCs w:val="21"/>
                <w:u w:val="none"/>
                <w:lang w:val="en-US" w:eastAsia="zh-CN" w:bidi="ar"/>
              </w:rPr>
            </w:pPr>
            <w:r>
              <w:rPr>
                <w:rFonts w:hint="eastAsia" w:ascii="仿宋_GB2312" w:hAnsi="宋体" w:eastAsia="仿宋_GB2312" w:cs="仿宋_GB2312"/>
                <w:i w:val="0"/>
                <w:iCs w:val="0"/>
                <w:color w:val="000000"/>
                <w:kern w:val="0"/>
                <w:sz w:val="21"/>
                <w:szCs w:val="21"/>
                <w:u w:val="none"/>
                <w:lang w:val="en-US" w:eastAsia="zh-CN" w:bidi="ar"/>
              </w:rPr>
              <w:t>文化旅游体育与传媒支出</w:t>
            </w:r>
          </w:p>
          <w:p w14:paraId="0A51E520">
            <w:pPr>
              <w:pStyle w:val="2"/>
              <w:keepNext w:val="0"/>
              <w:keepLines w:val="0"/>
              <w:pageBreakBefore w:val="0"/>
              <w:widowControl w:val="0"/>
              <w:kinsoku/>
              <w:wordWrap/>
              <w:overflowPunct/>
              <w:topLinePunct/>
              <w:autoSpaceDE w:val="0"/>
              <w:autoSpaceDN/>
              <w:bidi w:val="0"/>
              <w:adjustRightInd/>
              <w:snapToGrid/>
              <w:spacing w:line="280" w:lineRule="exact"/>
            </w:pPr>
            <w:r>
              <w:rPr>
                <w:rFonts w:hint="eastAsia" w:ascii="仿宋_GB2312" w:hAnsi="宋体" w:eastAsia="仿宋_GB2312" w:cs="仿宋_GB2312"/>
                <w:i w:val="0"/>
                <w:iCs w:val="0"/>
                <w:color w:val="000000"/>
                <w:kern w:val="0"/>
                <w:sz w:val="21"/>
                <w:szCs w:val="21"/>
                <w:u w:val="none"/>
                <w:lang w:val="en-US" w:eastAsia="zh-CN" w:bidi="ar"/>
              </w:rPr>
              <w:t>（文旅支出2000万元）</w:t>
            </w:r>
          </w:p>
        </w:tc>
        <w:tc>
          <w:tcPr>
            <w:tcW w:w="899" w:type="dxa"/>
            <w:vAlign w:val="center"/>
          </w:tcPr>
          <w:p w14:paraId="27D630A8">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6795</w:t>
            </w:r>
          </w:p>
        </w:tc>
      </w:tr>
      <w:tr w14:paraId="2EC95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Align w:val="center"/>
          </w:tcPr>
          <w:p w14:paraId="2CC867DF">
            <w:pPr>
              <w:keepNext w:val="0"/>
              <w:keepLines w:val="0"/>
              <w:widowControl/>
              <w:suppressLineNumbers w:val="0"/>
              <w:jc w:val="center"/>
              <w:textAlignment w:val="center"/>
              <w:rPr>
                <w:rFonts w:ascii="仿宋_GB2312" w:hAnsi="仿宋" w:eastAsia="仿宋_GB2312" w:cs="仿宋"/>
                <w:szCs w:val="21"/>
              </w:rPr>
            </w:pPr>
            <w:r>
              <w:rPr>
                <w:rFonts w:hint="eastAsia" w:ascii="仿宋_GB2312" w:hAnsi="宋体" w:eastAsia="仿宋_GB2312" w:cs="仿宋_GB2312"/>
                <w:i w:val="0"/>
                <w:iCs w:val="0"/>
                <w:color w:val="000000"/>
                <w:kern w:val="0"/>
                <w:sz w:val="21"/>
                <w:szCs w:val="21"/>
                <w:u w:val="none"/>
                <w:lang w:val="en-US" w:eastAsia="zh-CN" w:bidi="ar"/>
              </w:rPr>
              <w:t>8</w:t>
            </w:r>
          </w:p>
        </w:tc>
        <w:tc>
          <w:tcPr>
            <w:tcW w:w="3555" w:type="dxa"/>
            <w:vAlign w:val="center"/>
          </w:tcPr>
          <w:p w14:paraId="0C37E171">
            <w:pPr>
              <w:keepNext w:val="0"/>
              <w:keepLines w:val="0"/>
              <w:widowControl/>
              <w:suppressLineNumbers w:val="0"/>
              <w:ind w:firstLine="210" w:firstLineChars="10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印花税</w:t>
            </w:r>
          </w:p>
        </w:tc>
        <w:tc>
          <w:tcPr>
            <w:tcW w:w="900" w:type="dxa"/>
            <w:vAlign w:val="center"/>
          </w:tcPr>
          <w:p w14:paraId="280360CF">
            <w:pPr>
              <w:keepNext w:val="0"/>
              <w:keepLines w:val="0"/>
              <w:widowControl/>
              <w:suppressLineNumbers w:val="0"/>
              <w:jc w:val="left"/>
              <w:textAlignment w:val="center"/>
              <w:rPr>
                <w:rFonts w:hint="default" w:ascii="仿宋_GB2312" w:hAnsi="仿宋" w:eastAsia="仿宋_GB2312" w:cs="仿宋"/>
                <w:bCs/>
                <w:szCs w:val="21"/>
                <w:lang w:val="en-US" w:eastAsia="zh-CN"/>
              </w:rPr>
            </w:pPr>
            <w:r>
              <w:rPr>
                <w:rFonts w:hint="eastAsia" w:ascii="仿宋_GB2312" w:hAnsi="宋体" w:eastAsia="仿宋_GB2312" w:cs="仿宋_GB2312"/>
                <w:i w:val="0"/>
                <w:iCs w:val="0"/>
                <w:color w:val="000000"/>
                <w:kern w:val="0"/>
                <w:sz w:val="21"/>
                <w:szCs w:val="21"/>
                <w:u w:val="none"/>
                <w:lang w:val="en-US" w:eastAsia="zh-CN" w:bidi="ar"/>
              </w:rPr>
              <w:t>4467</w:t>
            </w:r>
          </w:p>
        </w:tc>
        <w:tc>
          <w:tcPr>
            <w:tcW w:w="2890" w:type="dxa"/>
            <w:vAlign w:val="center"/>
          </w:tcPr>
          <w:p w14:paraId="41C8BAEE">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社会保障和就业支出</w:t>
            </w:r>
          </w:p>
        </w:tc>
        <w:tc>
          <w:tcPr>
            <w:tcW w:w="899" w:type="dxa"/>
            <w:vAlign w:val="center"/>
          </w:tcPr>
          <w:p w14:paraId="51D9F4B4">
            <w:pPr>
              <w:keepNext w:val="0"/>
              <w:keepLines w:val="0"/>
              <w:widowControl/>
              <w:suppressLineNumbers w:val="0"/>
              <w:jc w:val="left"/>
              <w:textAlignment w:val="center"/>
              <w:rPr>
                <w:rFonts w:hint="default" w:ascii="仿宋_GB2312" w:hAnsi="仿宋" w:eastAsia="仿宋_GB2312" w:cs="仿宋"/>
                <w:bCs/>
                <w:szCs w:val="21"/>
                <w:lang w:val="en-US"/>
              </w:rPr>
            </w:pPr>
            <w:r>
              <w:rPr>
                <w:rFonts w:hint="eastAsia" w:ascii="仿宋_GB2312" w:hAnsi="宋体" w:eastAsia="仿宋_GB2312" w:cs="仿宋_GB2312"/>
                <w:i w:val="0"/>
                <w:iCs w:val="0"/>
                <w:color w:val="000000"/>
                <w:kern w:val="0"/>
                <w:sz w:val="21"/>
                <w:szCs w:val="21"/>
                <w:u w:val="none"/>
                <w:lang w:val="en-US" w:eastAsia="zh-CN" w:bidi="ar"/>
              </w:rPr>
              <w:t>58575</w:t>
            </w:r>
          </w:p>
        </w:tc>
      </w:tr>
      <w:tr w14:paraId="5E7BE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Align w:val="center"/>
          </w:tcPr>
          <w:p w14:paraId="48B3D7BA">
            <w:pPr>
              <w:keepNext w:val="0"/>
              <w:keepLines w:val="0"/>
              <w:widowControl/>
              <w:suppressLineNumbers w:val="0"/>
              <w:jc w:val="center"/>
              <w:textAlignment w:val="center"/>
              <w:rPr>
                <w:rFonts w:ascii="仿宋_GB2312" w:hAnsi="仿宋" w:eastAsia="仿宋_GB2312" w:cs="仿宋"/>
                <w:szCs w:val="21"/>
              </w:rPr>
            </w:pPr>
            <w:r>
              <w:rPr>
                <w:rFonts w:hint="eastAsia" w:ascii="仿宋_GB2312" w:hAnsi="宋体" w:eastAsia="仿宋_GB2312" w:cs="仿宋_GB2312"/>
                <w:i w:val="0"/>
                <w:iCs w:val="0"/>
                <w:color w:val="000000"/>
                <w:kern w:val="0"/>
                <w:sz w:val="21"/>
                <w:szCs w:val="21"/>
                <w:u w:val="none"/>
                <w:lang w:val="en-US" w:eastAsia="zh-CN" w:bidi="ar"/>
              </w:rPr>
              <w:t>9</w:t>
            </w:r>
          </w:p>
        </w:tc>
        <w:tc>
          <w:tcPr>
            <w:tcW w:w="3555" w:type="dxa"/>
            <w:vAlign w:val="center"/>
          </w:tcPr>
          <w:p w14:paraId="6B86A2DE">
            <w:pPr>
              <w:keepNext w:val="0"/>
              <w:keepLines w:val="0"/>
              <w:widowControl/>
              <w:suppressLineNumbers w:val="0"/>
              <w:ind w:firstLine="210" w:firstLineChars="10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车船税</w:t>
            </w:r>
          </w:p>
        </w:tc>
        <w:tc>
          <w:tcPr>
            <w:tcW w:w="900" w:type="dxa"/>
            <w:vAlign w:val="center"/>
          </w:tcPr>
          <w:p w14:paraId="38D4AAD3">
            <w:pPr>
              <w:keepNext w:val="0"/>
              <w:keepLines w:val="0"/>
              <w:widowControl/>
              <w:suppressLineNumbers w:val="0"/>
              <w:jc w:val="left"/>
              <w:textAlignment w:val="center"/>
              <w:rPr>
                <w:rFonts w:hint="default" w:ascii="仿宋_GB2312" w:hAnsi="仿宋" w:eastAsia="仿宋_GB2312" w:cs="仿宋"/>
                <w:bCs/>
                <w:szCs w:val="21"/>
                <w:lang w:val="en-US"/>
              </w:rPr>
            </w:pPr>
            <w:r>
              <w:rPr>
                <w:rFonts w:hint="eastAsia" w:ascii="仿宋_GB2312" w:hAnsi="宋体" w:eastAsia="仿宋_GB2312" w:cs="仿宋_GB2312"/>
                <w:i w:val="0"/>
                <w:iCs w:val="0"/>
                <w:color w:val="000000"/>
                <w:kern w:val="0"/>
                <w:sz w:val="21"/>
                <w:szCs w:val="21"/>
                <w:u w:val="none"/>
                <w:lang w:val="en-US" w:eastAsia="zh-CN" w:bidi="ar"/>
              </w:rPr>
              <w:t>2900</w:t>
            </w:r>
          </w:p>
        </w:tc>
        <w:tc>
          <w:tcPr>
            <w:tcW w:w="2890" w:type="dxa"/>
            <w:vAlign w:val="center"/>
          </w:tcPr>
          <w:p w14:paraId="4C64C0DC">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卫生健康支出</w:t>
            </w:r>
          </w:p>
        </w:tc>
        <w:tc>
          <w:tcPr>
            <w:tcW w:w="899" w:type="dxa"/>
            <w:vAlign w:val="center"/>
          </w:tcPr>
          <w:p w14:paraId="4A79C4CC">
            <w:pPr>
              <w:keepNext w:val="0"/>
              <w:keepLines w:val="0"/>
              <w:widowControl/>
              <w:suppressLineNumbers w:val="0"/>
              <w:jc w:val="left"/>
              <w:textAlignment w:val="center"/>
              <w:rPr>
                <w:rFonts w:hint="default" w:ascii="仿宋_GB2312" w:hAnsi="仿宋" w:eastAsia="仿宋_GB2312" w:cs="仿宋"/>
                <w:bCs/>
                <w:szCs w:val="21"/>
                <w:lang w:val="en-US"/>
              </w:rPr>
            </w:pPr>
            <w:r>
              <w:rPr>
                <w:rFonts w:hint="eastAsia" w:ascii="仿宋_GB2312" w:hAnsi="宋体" w:eastAsia="仿宋_GB2312" w:cs="仿宋_GB2312"/>
                <w:i w:val="0"/>
                <w:iCs w:val="0"/>
                <w:color w:val="000000"/>
                <w:kern w:val="0"/>
                <w:sz w:val="21"/>
                <w:szCs w:val="21"/>
                <w:u w:val="none"/>
                <w:lang w:val="en-US" w:eastAsia="zh-CN" w:bidi="ar"/>
              </w:rPr>
              <w:t>41462</w:t>
            </w:r>
          </w:p>
        </w:tc>
      </w:tr>
      <w:tr w14:paraId="7127E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Align w:val="center"/>
          </w:tcPr>
          <w:p w14:paraId="5C26AE1E">
            <w:pPr>
              <w:keepNext w:val="0"/>
              <w:keepLines w:val="0"/>
              <w:widowControl/>
              <w:suppressLineNumbers w:val="0"/>
              <w:jc w:val="center"/>
              <w:textAlignment w:val="center"/>
              <w:rPr>
                <w:rFonts w:ascii="仿宋_GB2312" w:hAnsi="仿宋" w:eastAsia="仿宋_GB2312" w:cs="仿宋"/>
                <w:szCs w:val="21"/>
              </w:rPr>
            </w:pPr>
            <w:r>
              <w:rPr>
                <w:rFonts w:hint="eastAsia" w:ascii="仿宋_GB2312" w:hAnsi="宋体" w:eastAsia="仿宋_GB2312" w:cs="仿宋_GB2312"/>
                <w:i w:val="0"/>
                <w:iCs w:val="0"/>
                <w:color w:val="000000"/>
                <w:kern w:val="0"/>
                <w:sz w:val="21"/>
                <w:szCs w:val="21"/>
                <w:u w:val="none"/>
                <w:lang w:val="en-US" w:eastAsia="zh-CN" w:bidi="ar"/>
              </w:rPr>
              <w:t>10</w:t>
            </w:r>
          </w:p>
        </w:tc>
        <w:tc>
          <w:tcPr>
            <w:tcW w:w="3555" w:type="dxa"/>
            <w:vAlign w:val="center"/>
          </w:tcPr>
          <w:p w14:paraId="6B2F09C9">
            <w:pPr>
              <w:keepNext w:val="0"/>
              <w:keepLines w:val="0"/>
              <w:widowControl/>
              <w:suppressLineNumbers w:val="0"/>
              <w:ind w:firstLine="210" w:firstLineChars="10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城镇土地使用税</w:t>
            </w:r>
          </w:p>
        </w:tc>
        <w:tc>
          <w:tcPr>
            <w:tcW w:w="900" w:type="dxa"/>
            <w:vAlign w:val="center"/>
          </w:tcPr>
          <w:p w14:paraId="660A7C19">
            <w:pPr>
              <w:keepNext w:val="0"/>
              <w:keepLines w:val="0"/>
              <w:widowControl/>
              <w:suppressLineNumbers w:val="0"/>
              <w:jc w:val="left"/>
              <w:textAlignment w:val="center"/>
              <w:rPr>
                <w:rFonts w:hint="default" w:ascii="仿宋_GB2312" w:hAnsi="仿宋" w:eastAsia="仿宋_GB2312" w:cs="仿宋"/>
                <w:bCs/>
                <w:szCs w:val="21"/>
                <w:lang w:val="en-US"/>
              </w:rPr>
            </w:pPr>
            <w:r>
              <w:rPr>
                <w:rFonts w:hint="eastAsia" w:ascii="仿宋_GB2312" w:hAnsi="宋体" w:eastAsia="仿宋_GB2312" w:cs="仿宋_GB2312"/>
                <w:i w:val="0"/>
                <w:iCs w:val="0"/>
                <w:color w:val="000000"/>
                <w:kern w:val="0"/>
                <w:sz w:val="21"/>
                <w:szCs w:val="21"/>
                <w:u w:val="none"/>
                <w:lang w:val="en-US" w:eastAsia="zh-CN" w:bidi="ar"/>
              </w:rPr>
              <w:t>7090</w:t>
            </w:r>
          </w:p>
        </w:tc>
        <w:tc>
          <w:tcPr>
            <w:tcW w:w="2890" w:type="dxa"/>
            <w:vAlign w:val="center"/>
          </w:tcPr>
          <w:p w14:paraId="02EC8379">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节能环保支出</w:t>
            </w:r>
          </w:p>
        </w:tc>
        <w:tc>
          <w:tcPr>
            <w:tcW w:w="899" w:type="dxa"/>
            <w:vAlign w:val="center"/>
          </w:tcPr>
          <w:p w14:paraId="41196FFF">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10565</w:t>
            </w:r>
          </w:p>
        </w:tc>
      </w:tr>
      <w:tr w14:paraId="1693E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Align w:val="center"/>
          </w:tcPr>
          <w:p w14:paraId="33FE9364">
            <w:pPr>
              <w:keepNext w:val="0"/>
              <w:keepLines w:val="0"/>
              <w:widowControl/>
              <w:suppressLineNumbers w:val="0"/>
              <w:jc w:val="center"/>
              <w:textAlignment w:val="center"/>
              <w:rPr>
                <w:rFonts w:ascii="仿宋_GB2312" w:hAnsi="仿宋" w:eastAsia="仿宋_GB2312" w:cs="仿宋"/>
                <w:szCs w:val="21"/>
              </w:rPr>
            </w:pPr>
            <w:r>
              <w:rPr>
                <w:rFonts w:hint="eastAsia" w:ascii="仿宋_GB2312" w:hAnsi="宋体" w:eastAsia="仿宋_GB2312" w:cs="仿宋_GB2312"/>
                <w:i w:val="0"/>
                <w:iCs w:val="0"/>
                <w:color w:val="000000"/>
                <w:kern w:val="0"/>
                <w:sz w:val="21"/>
                <w:szCs w:val="21"/>
                <w:u w:val="none"/>
                <w:lang w:val="en-US" w:eastAsia="zh-CN" w:bidi="ar"/>
              </w:rPr>
              <w:t>11</w:t>
            </w:r>
          </w:p>
        </w:tc>
        <w:tc>
          <w:tcPr>
            <w:tcW w:w="3555" w:type="dxa"/>
            <w:vAlign w:val="center"/>
          </w:tcPr>
          <w:p w14:paraId="22D1EA91">
            <w:pPr>
              <w:keepNext w:val="0"/>
              <w:keepLines w:val="0"/>
              <w:widowControl/>
              <w:suppressLineNumbers w:val="0"/>
              <w:ind w:firstLine="210" w:firstLineChars="10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土地增值税</w:t>
            </w:r>
          </w:p>
        </w:tc>
        <w:tc>
          <w:tcPr>
            <w:tcW w:w="900" w:type="dxa"/>
            <w:vAlign w:val="center"/>
          </w:tcPr>
          <w:p w14:paraId="593F4CA8">
            <w:pPr>
              <w:keepNext w:val="0"/>
              <w:keepLines w:val="0"/>
              <w:widowControl/>
              <w:suppressLineNumbers w:val="0"/>
              <w:jc w:val="left"/>
              <w:textAlignment w:val="center"/>
              <w:rPr>
                <w:rFonts w:hint="default" w:ascii="仿宋_GB2312" w:hAnsi="仿宋" w:eastAsia="仿宋_GB2312" w:cs="仿宋"/>
                <w:bCs/>
                <w:szCs w:val="21"/>
                <w:lang w:val="en-US"/>
              </w:rPr>
            </w:pPr>
            <w:r>
              <w:rPr>
                <w:rFonts w:hint="eastAsia" w:ascii="仿宋_GB2312" w:hAnsi="宋体" w:eastAsia="仿宋_GB2312" w:cs="仿宋_GB2312"/>
                <w:i w:val="0"/>
                <w:iCs w:val="0"/>
                <w:color w:val="000000"/>
                <w:kern w:val="0"/>
                <w:sz w:val="21"/>
                <w:szCs w:val="21"/>
                <w:u w:val="none"/>
                <w:lang w:val="en-US" w:eastAsia="zh-CN" w:bidi="ar"/>
              </w:rPr>
              <w:t>1615</w:t>
            </w:r>
          </w:p>
        </w:tc>
        <w:tc>
          <w:tcPr>
            <w:tcW w:w="2890" w:type="dxa"/>
            <w:vAlign w:val="center"/>
          </w:tcPr>
          <w:p w14:paraId="27F6B802">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城乡社区支出</w:t>
            </w:r>
          </w:p>
        </w:tc>
        <w:tc>
          <w:tcPr>
            <w:tcW w:w="899" w:type="dxa"/>
            <w:vAlign w:val="center"/>
          </w:tcPr>
          <w:p w14:paraId="379753EE">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3770</w:t>
            </w:r>
          </w:p>
        </w:tc>
      </w:tr>
      <w:tr w14:paraId="79066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Align w:val="center"/>
          </w:tcPr>
          <w:p w14:paraId="439F3683">
            <w:pPr>
              <w:keepNext w:val="0"/>
              <w:keepLines w:val="0"/>
              <w:widowControl/>
              <w:suppressLineNumbers w:val="0"/>
              <w:jc w:val="center"/>
              <w:textAlignment w:val="center"/>
              <w:rPr>
                <w:rFonts w:ascii="仿宋_GB2312" w:hAnsi="仿宋" w:eastAsia="仿宋_GB2312" w:cs="仿宋"/>
                <w:szCs w:val="21"/>
              </w:rPr>
            </w:pPr>
            <w:r>
              <w:rPr>
                <w:rFonts w:hint="eastAsia" w:ascii="仿宋_GB2312" w:hAnsi="宋体" w:eastAsia="仿宋_GB2312" w:cs="仿宋_GB2312"/>
                <w:i w:val="0"/>
                <w:iCs w:val="0"/>
                <w:color w:val="000000"/>
                <w:kern w:val="0"/>
                <w:sz w:val="21"/>
                <w:szCs w:val="21"/>
                <w:u w:val="none"/>
                <w:lang w:val="en-US" w:eastAsia="zh-CN" w:bidi="ar"/>
              </w:rPr>
              <w:t>12</w:t>
            </w:r>
          </w:p>
        </w:tc>
        <w:tc>
          <w:tcPr>
            <w:tcW w:w="3555" w:type="dxa"/>
            <w:vAlign w:val="center"/>
          </w:tcPr>
          <w:p w14:paraId="66EC1A24">
            <w:pPr>
              <w:keepNext w:val="0"/>
              <w:keepLines w:val="0"/>
              <w:widowControl/>
              <w:suppressLineNumbers w:val="0"/>
              <w:ind w:firstLine="210" w:firstLineChars="10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环境保护税</w:t>
            </w:r>
          </w:p>
        </w:tc>
        <w:tc>
          <w:tcPr>
            <w:tcW w:w="900" w:type="dxa"/>
            <w:vAlign w:val="center"/>
          </w:tcPr>
          <w:p w14:paraId="71784B1C">
            <w:pPr>
              <w:keepNext w:val="0"/>
              <w:keepLines w:val="0"/>
              <w:widowControl/>
              <w:suppressLineNumbers w:val="0"/>
              <w:jc w:val="left"/>
              <w:textAlignment w:val="center"/>
              <w:rPr>
                <w:rFonts w:hint="default" w:ascii="仿宋_GB2312" w:hAnsi="仿宋" w:eastAsia="仿宋_GB2312" w:cs="仿宋"/>
                <w:bCs/>
                <w:szCs w:val="21"/>
                <w:lang w:val="en-US"/>
              </w:rPr>
            </w:pPr>
            <w:r>
              <w:rPr>
                <w:rFonts w:hint="eastAsia" w:ascii="仿宋_GB2312" w:hAnsi="宋体" w:eastAsia="仿宋_GB2312" w:cs="仿宋_GB2312"/>
                <w:i w:val="0"/>
                <w:iCs w:val="0"/>
                <w:color w:val="000000"/>
                <w:kern w:val="0"/>
                <w:sz w:val="21"/>
                <w:szCs w:val="21"/>
                <w:u w:val="none"/>
                <w:lang w:val="en-US" w:eastAsia="zh-CN" w:bidi="ar"/>
              </w:rPr>
              <w:t>490</w:t>
            </w:r>
          </w:p>
        </w:tc>
        <w:tc>
          <w:tcPr>
            <w:tcW w:w="2890" w:type="dxa"/>
            <w:vAlign w:val="center"/>
          </w:tcPr>
          <w:p w14:paraId="4FDC1BA9">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农林水支出</w:t>
            </w:r>
          </w:p>
        </w:tc>
        <w:tc>
          <w:tcPr>
            <w:tcW w:w="899" w:type="dxa"/>
            <w:vAlign w:val="center"/>
          </w:tcPr>
          <w:p w14:paraId="0A8B992D">
            <w:pPr>
              <w:keepNext w:val="0"/>
              <w:keepLines w:val="0"/>
              <w:widowControl/>
              <w:suppressLineNumbers w:val="0"/>
              <w:jc w:val="left"/>
              <w:textAlignment w:val="center"/>
              <w:rPr>
                <w:rFonts w:hint="default" w:ascii="仿宋_GB2312" w:hAnsi="仿宋" w:eastAsia="仿宋_GB2312" w:cs="仿宋"/>
                <w:bCs/>
                <w:szCs w:val="21"/>
                <w:lang w:val="en-US"/>
              </w:rPr>
            </w:pPr>
            <w:r>
              <w:rPr>
                <w:rFonts w:hint="eastAsia" w:ascii="仿宋_GB2312" w:hAnsi="宋体" w:eastAsia="仿宋_GB2312" w:cs="仿宋_GB2312"/>
                <w:i w:val="0"/>
                <w:iCs w:val="0"/>
                <w:color w:val="000000"/>
                <w:kern w:val="0"/>
                <w:sz w:val="21"/>
                <w:szCs w:val="21"/>
                <w:u w:val="none"/>
                <w:lang w:val="en-US" w:eastAsia="zh-CN" w:bidi="ar"/>
              </w:rPr>
              <w:t>58021</w:t>
            </w:r>
          </w:p>
        </w:tc>
      </w:tr>
      <w:tr w14:paraId="58620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Align w:val="center"/>
          </w:tcPr>
          <w:p w14:paraId="241A20C4">
            <w:pPr>
              <w:keepNext w:val="0"/>
              <w:keepLines w:val="0"/>
              <w:widowControl/>
              <w:suppressLineNumbers w:val="0"/>
              <w:jc w:val="center"/>
              <w:textAlignment w:val="center"/>
              <w:rPr>
                <w:rFonts w:ascii="仿宋_GB2312" w:hAnsi="仿宋" w:eastAsia="仿宋_GB2312" w:cs="仿宋"/>
                <w:szCs w:val="21"/>
              </w:rPr>
            </w:pPr>
            <w:r>
              <w:rPr>
                <w:rFonts w:hint="eastAsia" w:ascii="仿宋_GB2312" w:hAnsi="宋体" w:eastAsia="仿宋_GB2312" w:cs="仿宋_GB2312"/>
                <w:i w:val="0"/>
                <w:iCs w:val="0"/>
                <w:color w:val="000000"/>
                <w:kern w:val="0"/>
                <w:sz w:val="21"/>
                <w:szCs w:val="21"/>
                <w:u w:val="none"/>
                <w:lang w:val="en-US" w:eastAsia="zh-CN" w:bidi="ar"/>
              </w:rPr>
              <w:t>13</w:t>
            </w:r>
          </w:p>
        </w:tc>
        <w:tc>
          <w:tcPr>
            <w:tcW w:w="3555" w:type="dxa"/>
            <w:vAlign w:val="center"/>
          </w:tcPr>
          <w:p w14:paraId="731FA1DF">
            <w:pPr>
              <w:keepNext w:val="0"/>
              <w:keepLines w:val="0"/>
              <w:widowControl/>
              <w:suppressLineNumbers w:val="0"/>
              <w:ind w:firstLine="210" w:firstLineChars="10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耕地占用税</w:t>
            </w:r>
          </w:p>
        </w:tc>
        <w:tc>
          <w:tcPr>
            <w:tcW w:w="900" w:type="dxa"/>
            <w:vAlign w:val="center"/>
          </w:tcPr>
          <w:p w14:paraId="3D2E4DD3">
            <w:pPr>
              <w:keepNext w:val="0"/>
              <w:keepLines w:val="0"/>
              <w:widowControl/>
              <w:suppressLineNumbers w:val="0"/>
              <w:jc w:val="left"/>
              <w:textAlignment w:val="center"/>
              <w:rPr>
                <w:rFonts w:hint="default" w:ascii="仿宋_GB2312" w:hAnsi="仿宋" w:eastAsia="仿宋_GB2312" w:cs="仿宋"/>
                <w:bCs/>
                <w:szCs w:val="21"/>
                <w:lang w:val="en-US"/>
              </w:rPr>
            </w:pPr>
            <w:r>
              <w:rPr>
                <w:rFonts w:hint="eastAsia" w:ascii="仿宋_GB2312" w:hAnsi="宋体" w:eastAsia="仿宋_GB2312" w:cs="仿宋_GB2312"/>
                <w:i w:val="0"/>
                <w:iCs w:val="0"/>
                <w:color w:val="000000"/>
                <w:kern w:val="0"/>
                <w:sz w:val="21"/>
                <w:szCs w:val="21"/>
                <w:u w:val="none"/>
                <w:lang w:val="en-US" w:eastAsia="zh-CN" w:bidi="ar"/>
              </w:rPr>
              <w:t>600</w:t>
            </w:r>
          </w:p>
        </w:tc>
        <w:tc>
          <w:tcPr>
            <w:tcW w:w="2890" w:type="dxa"/>
            <w:vAlign w:val="center"/>
          </w:tcPr>
          <w:p w14:paraId="320D1D4F">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交通运输支出</w:t>
            </w:r>
          </w:p>
        </w:tc>
        <w:tc>
          <w:tcPr>
            <w:tcW w:w="899" w:type="dxa"/>
            <w:vAlign w:val="center"/>
          </w:tcPr>
          <w:p w14:paraId="690D4E55">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3523</w:t>
            </w:r>
          </w:p>
        </w:tc>
      </w:tr>
      <w:tr w14:paraId="742E1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Align w:val="center"/>
          </w:tcPr>
          <w:p w14:paraId="2BC8B54B">
            <w:pPr>
              <w:keepNext w:val="0"/>
              <w:keepLines w:val="0"/>
              <w:widowControl/>
              <w:suppressLineNumbers w:val="0"/>
              <w:jc w:val="center"/>
              <w:textAlignment w:val="center"/>
              <w:rPr>
                <w:rFonts w:ascii="仿宋_GB2312" w:hAnsi="仿宋" w:eastAsia="仿宋_GB2312" w:cs="仿宋"/>
                <w:szCs w:val="21"/>
              </w:rPr>
            </w:pPr>
            <w:r>
              <w:rPr>
                <w:rFonts w:hint="eastAsia" w:ascii="仿宋_GB2312" w:hAnsi="宋体" w:eastAsia="仿宋_GB2312" w:cs="仿宋_GB2312"/>
                <w:i w:val="0"/>
                <w:iCs w:val="0"/>
                <w:color w:val="000000"/>
                <w:kern w:val="0"/>
                <w:sz w:val="21"/>
                <w:szCs w:val="21"/>
                <w:u w:val="none"/>
                <w:lang w:val="en-US" w:eastAsia="zh-CN" w:bidi="ar"/>
              </w:rPr>
              <w:t>14</w:t>
            </w:r>
          </w:p>
        </w:tc>
        <w:tc>
          <w:tcPr>
            <w:tcW w:w="3555" w:type="dxa"/>
            <w:vAlign w:val="center"/>
          </w:tcPr>
          <w:p w14:paraId="46541173">
            <w:pPr>
              <w:keepNext w:val="0"/>
              <w:keepLines w:val="0"/>
              <w:widowControl/>
              <w:suppressLineNumbers w:val="0"/>
              <w:ind w:firstLine="210" w:firstLineChars="10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契税</w:t>
            </w:r>
          </w:p>
        </w:tc>
        <w:tc>
          <w:tcPr>
            <w:tcW w:w="900" w:type="dxa"/>
            <w:vAlign w:val="center"/>
          </w:tcPr>
          <w:p w14:paraId="366BBD9E">
            <w:pPr>
              <w:keepNext w:val="0"/>
              <w:keepLines w:val="0"/>
              <w:widowControl/>
              <w:suppressLineNumbers w:val="0"/>
              <w:jc w:val="left"/>
              <w:textAlignment w:val="center"/>
              <w:rPr>
                <w:rFonts w:hint="default" w:ascii="仿宋_GB2312" w:hAnsi="仿宋" w:eastAsia="仿宋_GB2312" w:cs="仿宋"/>
                <w:bCs/>
                <w:szCs w:val="21"/>
                <w:lang w:val="en-US"/>
              </w:rPr>
            </w:pPr>
            <w:r>
              <w:rPr>
                <w:rFonts w:hint="eastAsia" w:ascii="仿宋_GB2312" w:hAnsi="宋体" w:eastAsia="仿宋_GB2312" w:cs="仿宋_GB2312"/>
                <w:i w:val="0"/>
                <w:iCs w:val="0"/>
                <w:color w:val="000000"/>
                <w:kern w:val="0"/>
                <w:sz w:val="21"/>
                <w:szCs w:val="21"/>
                <w:u w:val="none"/>
                <w:lang w:val="en-US" w:eastAsia="zh-CN" w:bidi="ar"/>
              </w:rPr>
              <w:t>2693</w:t>
            </w:r>
          </w:p>
        </w:tc>
        <w:tc>
          <w:tcPr>
            <w:tcW w:w="2890" w:type="dxa"/>
            <w:vAlign w:val="center"/>
          </w:tcPr>
          <w:p w14:paraId="438BFEE5">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资源勘探工业信息等支出</w:t>
            </w:r>
          </w:p>
        </w:tc>
        <w:tc>
          <w:tcPr>
            <w:tcW w:w="899" w:type="dxa"/>
            <w:vAlign w:val="center"/>
          </w:tcPr>
          <w:p w14:paraId="2BA0B16E">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1336</w:t>
            </w:r>
          </w:p>
        </w:tc>
      </w:tr>
      <w:tr w14:paraId="14339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Align w:val="center"/>
          </w:tcPr>
          <w:p w14:paraId="4C4AF7F6">
            <w:pPr>
              <w:keepNext w:val="0"/>
              <w:keepLines w:val="0"/>
              <w:widowControl/>
              <w:suppressLineNumbers w:val="0"/>
              <w:jc w:val="center"/>
              <w:textAlignment w:val="center"/>
              <w:rPr>
                <w:rFonts w:ascii="仿宋_GB2312" w:hAnsi="仿宋" w:eastAsia="仿宋_GB2312" w:cs="仿宋"/>
                <w:szCs w:val="21"/>
              </w:rPr>
            </w:pPr>
            <w:r>
              <w:rPr>
                <w:rFonts w:hint="eastAsia" w:ascii="仿宋_GB2312" w:hAnsi="宋体" w:eastAsia="仿宋_GB2312" w:cs="仿宋_GB2312"/>
                <w:i w:val="0"/>
                <w:iCs w:val="0"/>
                <w:color w:val="000000"/>
                <w:kern w:val="0"/>
                <w:sz w:val="21"/>
                <w:szCs w:val="21"/>
                <w:u w:val="none"/>
                <w:lang w:val="en-US" w:eastAsia="zh-CN" w:bidi="ar"/>
              </w:rPr>
              <w:t>15</w:t>
            </w:r>
          </w:p>
        </w:tc>
        <w:tc>
          <w:tcPr>
            <w:tcW w:w="3555" w:type="dxa"/>
            <w:vAlign w:val="center"/>
          </w:tcPr>
          <w:p w14:paraId="4E01599E">
            <w:pPr>
              <w:keepNext w:val="0"/>
              <w:keepLines w:val="0"/>
              <w:widowControl/>
              <w:suppressLineNumbers w:val="0"/>
              <w:ind w:firstLine="210" w:firstLineChars="10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烟叶税</w:t>
            </w:r>
          </w:p>
        </w:tc>
        <w:tc>
          <w:tcPr>
            <w:tcW w:w="900" w:type="dxa"/>
            <w:vAlign w:val="center"/>
          </w:tcPr>
          <w:p w14:paraId="1C39794A">
            <w:pPr>
              <w:keepNext w:val="0"/>
              <w:keepLines w:val="0"/>
              <w:widowControl/>
              <w:suppressLineNumbers w:val="0"/>
              <w:jc w:val="left"/>
              <w:textAlignment w:val="center"/>
              <w:rPr>
                <w:rFonts w:hint="default" w:ascii="仿宋_GB2312" w:hAnsi="仿宋" w:eastAsia="仿宋_GB2312" w:cs="仿宋"/>
                <w:bCs/>
                <w:szCs w:val="21"/>
                <w:lang w:val="en-US"/>
              </w:rPr>
            </w:pPr>
            <w:r>
              <w:rPr>
                <w:rFonts w:hint="eastAsia" w:ascii="仿宋_GB2312" w:hAnsi="宋体" w:eastAsia="仿宋_GB2312" w:cs="仿宋_GB2312"/>
                <w:i w:val="0"/>
                <w:iCs w:val="0"/>
                <w:color w:val="000000"/>
                <w:kern w:val="0"/>
                <w:sz w:val="21"/>
                <w:szCs w:val="21"/>
                <w:u w:val="none"/>
                <w:lang w:val="en-US" w:eastAsia="zh-CN" w:bidi="ar"/>
              </w:rPr>
              <w:t>370</w:t>
            </w:r>
          </w:p>
        </w:tc>
        <w:tc>
          <w:tcPr>
            <w:tcW w:w="2890" w:type="dxa"/>
            <w:vAlign w:val="center"/>
          </w:tcPr>
          <w:p w14:paraId="2CA466F8">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商业服务业等支出</w:t>
            </w:r>
          </w:p>
        </w:tc>
        <w:tc>
          <w:tcPr>
            <w:tcW w:w="899" w:type="dxa"/>
            <w:vAlign w:val="center"/>
          </w:tcPr>
          <w:p w14:paraId="2570DF15">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1099</w:t>
            </w:r>
          </w:p>
        </w:tc>
      </w:tr>
      <w:tr w14:paraId="46B05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Align w:val="center"/>
          </w:tcPr>
          <w:p w14:paraId="7A09EBCE">
            <w:pPr>
              <w:keepNext w:val="0"/>
              <w:keepLines w:val="0"/>
              <w:widowControl/>
              <w:suppressLineNumbers w:val="0"/>
              <w:jc w:val="center"/>
              <w:textAlignment w:val="center"/>
              <w:rPr>
                <w:rFonts w:ascii="仿宋_GB2312" w:hAnsi="仿宋" w:eastAsia="仿宋_GB2312" w:cs="仿宋"/>
                <w:szCs w:val="21"/>
              </w:rPr>
            </w:pPr>
            <w:r>
              <w:rPr>
                <w:rFonts w:hint="eastAsia" w:ascii="仿宋_GB2312" w:hAnsi="宋体" w:eastAsia="仿宋_GB2312" w:cs="仿宋_GB2312"/>
                <w:i w:val="0"/>
                <w:iCs w:val="0"/>
                <w:color w:val="000000"/>
                <w:kern w:val="0"/>
                <w:sz w:val="21"/>
                <w:szCs w:val="21"/>
                <w:u w:val="none"/>
                <w:lang w:val="en-US" w:eastAsia="zh-CN" w:bidi="ar"/>
              </w:rPr>
              <w:t>16</w:t>
            </w:r>
          </w:p>
        </w:tc>
        <w:tc>
          <w:tcPr>
            <w:tcW w:w="3555" w:type="dxa"/>
            <w:vAlign w:val="center"/>
          </w:tcPr>
          <w:p w14:paraId="48A6C08C">
            <w:pPr>
              <w:keepNext w:val="0"/>
              <w:keepLines w:val="0"/>
              <w:widowControl/>
              <w:suppressLineNumbers w:val="0"/>
              <w:ind w:firstLine="210" w:firstLineChars="10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资源税</w:t>
            </w:r>
          </w:p>
        </w:tc>
        <w:tc>
          <w:tcPr>
            <w:tcW w:w="900" w:type="dxa"/>
            <w:vAlign w:val="center"/>
          </w:tcPr>
          <w:p w14:paraId="732A7532">
            <w:pPr>
              <w:keepNext w:val="0"/>
              <w:keepLines w:val="0"/>
              <w:widowControl/>
              <w:suppressLineNumbers w:val="0"/>
              <w:jc w:val="left"/>
              <w:textAlignment w:val="center"/>
              <w:rPr>
                <w:rFonts w:hint="default" w:ascii="仿宋_GB2312" w:hAnsi="仿宋" w:eastAsia="仿宋_GB2312" w:cs="仿宋"/>
                <w:bCs/>
                <w:szCs w:val="21"/>
                <w:lang w:val="en-US"/>
              </w:rPr>
            </w:pPr>
            <w:r>
              <w:rPr>
                <w:rFonts w:hint="eastAsia" w:ascii="仿宋_GB2312" w:hAnsi="宋体" w:eastAsia="仿宋_GB2312" w:cs="仿宋_GB2312"/>
                <w:i w:val="0"/>
                <w:iCs w:val="0"/>
                <w:color w:val="000000"/>
                <w:kern w:val="0"/>
                <w:sz w:val="21"/>
                <w:szCs w:val="21"/>
                <w:u w:val="none"/>
                <w:lang w:val="en-US" w:eastAsia="zh-CN" w:bidi="ar"/>
              </w:rPr>
              <w:t>2500</w:t>
            </w:r>
          </w:p>
        </w:tc>
        <w:tc>
          <w:tcPr>
            <w:tcW w:w="2890" w:type="dxa"/>
            <w:vAlign w:val="center"/>
          </w:tcPr>
          <w:p w14:paraId="511EF9D5">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自然资源海洋气象等支出</w:t>
            </w:r>
          </w:p>
        </w:tc>
        <w:tc>
          <w:tcPr>
            <w:tcW w:w="899" w:type="dxa"/>
            <w:vAlign w:val="center"/>
          </w:tcPr>
          <w:p w14:paraId="0126843F">
            <w:pPr>
              <w:keepNext w:val="0"/>
              <w:keepLines w:val="0"/>
              <w:widowControl/>
              <w:suppressLineNumbers w:val="0"/>
              <w:jc w:val="left"/>
              <w:textAlignment w:val="center"/>
              <w:rPr>
                <w:rFonts w:hint="default" w:ascii="仿宋_GB2312" w:hAnsi="仿宋" w:eastAsia="仿宋_GB2312" w:cs="仿宋"/>
                <w:bCs/>
                <w:szCs w:val="21"/>
                <w:lang w:val="en-US"/>
              </w:rPr>
            </w:pPr>
            <w:r>
              <w:rPr>
                <w:rFonts w:hint="eastAsia" w:ascii="仿宋_GB2312" w:hAnsi="宋体" w:eastAsia="仿宋_GB2312" w:cs="仿宋_GB2312"/>
                <w:i w:val="0"/>
                <w:iCs w:val="0"/>
                <w:color w:val="000000"/>
                <w:kern w:val="0"/>
                <w:sz w:val="21"/>
                <w:szCs w:val="21"/>
                <w:u w:val="none"/>
                <w:lang w:val="en-US" w:eastAsia="zh-CN" w:bidi="ar"/>
              </w:rPr>
              <w:t>374</w:t>
            </w:r>
          </w:p>
        </w:tc>
      </w:tr>
      <w:tr w14:paraId="323E9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Align w:val="center"/>
          </w:tcPr>
          <w:p w14:paraId="4E2DA9EF">
            <w:pPr>
              <w:keepNext w:val="0"/>
              <w:keepLines w:val="0"/>
              <w:widowControl/>
              <w:suppressLineNumbers w:val="0"/>
              <w:jc w:val="center"/>
              <w:textAlignment w:val="center"/>
              <w:rPr>
                <w:rFonts w:ascii="仿宋_GB2312" w:hAnsi="仿宋" w:eastAsia="仿宋_GB2312" w:cs="仿宋"/>
                <w:szCs w:val="21"/>
              </w:rPr>
            </w:pPr>
            <w:r>
              <w:rPr>
                <w:rFonts w:hint="eastAsia" w:ascii="仿宋_GB2312" w:hAnsi="宋体" w:eastAsia="仿宋_GB2312" w:cs="仿宋_GB2312"/>
                <w:i w:val="0"/>
                <w:iCs w:val="0"/>
                <w:color w:val="000000"/>
                <w:kern w:val="0"/>
                <w:sz w:val="21"/>
                <w:szCs w:val="21"/>
                <w:u w:val="none"/>
                <w:lang w:val="en-US" w:eastAsia="zh-CN" w:bidi="ar"/>
              </w:rPr>
              <w:t>17</w:t>
            </w:r>
          </w:p>
        </w:tc>
        <w:tc>
          <w:tcPr>
            <w:tcW w:w="3555" w:type="dxa"/>
            <w:vAlign w:val="center"/>
          </w:tcPr>
          <w:p w14:paraId="7B53D8C8">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b/>
                <w:bCs/>
                <w:i w:val="0"/>
                <w:iCs w:val="0"/>
                <w:color w:val="000000"/>
                <w:kern w:val="0"/>
                <w:sz w:val="21"/>
                <w:szCs w:val="21"/>
                <w:u w:val="none"/>
                <w:lang w:val="en-US" w:eastAsia="zh-CN" w:bidi="ar"/>
              </w:rPr>
              <w:t>非税收入</w:t>
            </w:r>
          </w:p>
        </w:tc>
        <w:tc>
          <w:tcPr>
            <w:tcW w:w="900" w:type="dxa"/>
            <w:vAlign w:val="center"/>
          </w:tcPr>
          <w:p w14:paraId="3D9E6604">
            <w:pPr>
              <w:keepNext w:val="0"/>
              <w:keepLines w:val="0"/>
              <w:widowControl/>
              <w:suppressLineNumbers w:val="0"/>
              <w:jc w:val="left"/>
              <w:textAlignment w:val="center"/>
              <w:rPr>
                <w:rFonts w:hint="default" w:ascii="仿宋_GB2312" w:hAnsi="仿宋" w:eastAsia="仿宋_GB2312" w:cs="仿宋"/>
                <w:b/>
                <w:szCs w:val="21"/>
                <w:lang w:val="en-US"/>
              </w:rPr>
            </w:pPr>
            <w:r>
              <w:rPr>
                <w:rFonts w:hint="eastAsia" w:ascii="仿宋_GB2312" w:hAnsi="宋体" w:eastAsia="仿宋_GB2312" w:cs="仿宋_GB2312"/>
                <w:b/>
                <w:bCs/>
                <w:i w:val="0"/>
                <w:iCs w:val="0"/>
                <w:color w:val="000000"/>
                <w:kern w:val="0"/>
                <w:sz w:val="21"/>
                <w:szCs w:val="21"/>
                <w:u w:val="none"/>
                <w:lang w:val="en-US" w:eastAsia="zh-CN" w:bidi="ar"/>
              </w:rPr>
              <w:t>41600</w:t>
            </w:r>
          </w:p>
        </w:tc>
        <w:tc>
          <w:tcPr>
            <w:tcW w:w="2890" w:type="dxa"/>
            <w:vAlign w:val="center"/>
          </w:tcPr>
          <w:p w14:paraId="36E684D3">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住房保障支出</w:t>
            </w:r>
          </w:p>
        </w:tc>
        <w:tc>
          <w:tcPr>
            <w:tcW w:w="899" w:type="dxa"/>
            <w:vAlign w:val="center"/>
          </w:tcPr>
          <w:p w14:paraId="15728DE0">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2753</w:t>
            </w:r>
          </w:p>
        </w:tc>
      </w:tr>
      <w:tr w14:paraId="630D9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Align w:val="center"/>
          </w:tcPr>
          <w:p w14:paraId="2A318821">
            <w:pPr>
              <w:keepNext w:val="0"/>
              <w:keepLines w:val="0"/>
              <w:widowControl/>
              <w:suppressLineNumbers w:val="0"/>
              <w:jc w:val="center"/>
              <w:textAlignment w:val="center"/>
              <w:rPr>
                <w:rFonts w:ascii="仿宋_GB2312" w:hAnsi="仿宋" w:eastAsia="仿宋_GB2312" w:cs="仿宋"/>
                <w:szCs w:val="21"/>
              </w:rPr>
            </w:pPr>
            <w:r>
              <w:rPr>
                <w:rFonts w:hint="eastAsia" w:ascii="仿宋_GB2312" w:hAnsi="宋体" w:eastAsia="仿宋_GB2312" w:cs="仿宋_GB2312"/>
                <w:i w:val="0"/>
                <w:iCs w:val="0"/>
                <w:color w:val="000000"/>
                <w:kern w:val="0"/>
                <w:sz w:val="21"/>
                <w:szCs w:val="21"/>
                <w:u w:val="none"/>
                <w:lang w:val="en-US" w:eastAsia="zh-CN" w:bidi="ar"/>
              </w:rPr>
              <w:t>18</w:t>
            </w:r>
          </w:p>
        </w:tc>
        <w:tc>
          <w:tcPr>
            <w:tcW w:w="3555" w:type="dxa"/>
            <w:vAlign w:val="center"/>
          </w:tcPr>
          <w:p w14:paraId="18966332">
            <w:pPr>
              <w:keepNext w:val="0"/>
              <w:keepLines w:val="0"/>
              <w:widowControl/>
              <w:suppressLineNumbers w:val="0"/>
              <w:ind w:firstLine="210" w:firstLineChars="10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专项收入</w:t>
            </w:r>
          </w:p>
        </w:tc>
        <w:tc>
          <w:tcPr>
            <w:tcW w:w="900" w:type="dxa"/>
            <w:vAlign w:val="center"/>
          </w:tcPr>
          <w:p w14:paraId="0C8A09E7">
            <w:pPr>
              <w:keepNext w:val="0"/>
              <w:keepLines w:val="0"/>
              <w:widowControl/>
              <w:suppressLineNumbers w:val="0"/>
              <w:jc w:val="left"/>
              <w:textAlignment w:val="center"/>
              <w:rPr>
                <w:rFonts w:hint="default" w:ascii="仿宋_GB2312" w:hAnsi="仿宋" w:eastAsia="仿宋_GB2312" w:cs="仿宋"/>
                <w:bCs/>
                <w:szCs w:val="21"/>
                <w:lang w:val="en-US"/>
              </w:rPr>
            </w:pPr>
            <w:r>
              <w:rPr>
                <w:rFonts w:hint="eastAsia" w:ascii="仿宋_GB2312" w:hAnsi="宋体" w:eastAsia="仿宋_GB2312" w:cs="仿宋_GB2312"/>
                <w:i w:val="0"/>
                <w:iCs w:val="0"/>
                <w:color w:val="000000"/>
                <w:kern w:val="0"/>
                <w:sz w:val="21"/>
                <w:szCs w:val="21"/>
                <w:u w:val="none"/>
                <w:lang w:val="en-US" w:eastAsia="zh-CN" w:bidi="ar"/>
              </w:rPr>
              <w:t>5690</w:t>
            </w:r>
          </w:p>
        </w:tc>
        <w:tc>
          <w:tcPr>
            <w:tcW w:w="2890" w:type="dxa"/>
            <w:vAlign w:val="center"/>
          </w:tcPr>
          <w:p w14:paraId="1980A9CA">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粮油物资储备支出</w:t>
            </w:r>
          </w:p>
        </w:tc>
        <w:tc>
          <w:tcPr>
            <w:tcW w:w="899" w:type="dxa"/>
            <w:vAlign w:val="center"/>
          </w:tcPr>
          <w:p w14:paraId="2EFCFC1B">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42</w:t>
            </w:r>
          </w:p>
        </w:tc>
      </w:tr>
      <w:tr w14:paraId="33DFB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Align w:val="center"/>
          </w:tcPr>
          <w:p w14:paraId="105CF296">
            <w:pPr>
              <w:keepNext w:val="0"/>
              <w:keepLines w:val="0"/>
              <w:widowControl/>
              <w:suppressLineNumbers w:val="0"/>
              <w:jc w:val="center"/>
              <w:textAlignment w:val="center"/>
              <w:rPr>
                <w:rFonts w:ascii="仿宋_GB2312" w:hAnsi="仿宋" w:eastAsia="仿宋_GB2312" w:cs="仿宋"/>
                <w:szCs w:val="21"/>
              </w:rPr>
            </w:pPr>
            <w:r>
              <w:rPr>
                <w:rFonts w:hint="eastAsia" w:ascii="仿宋_GB2312" w:hAnsi="宋体" w:eastAsia="仿宋_GB2312" w:cs="仿宋_GB2312"/>
                <w:i w:val="0"/>
                <w:iCs w:val="0"/>
                <w:color w:val="000000"/>
                <w:kern w:val="0"/>
                <w:sz w:val="21"/>
                <w:szCs w:val="21"/>
                <w:u w:val="none"/>
                <w:lang w:val="en-US" w:eastAsia="zh-CN" w:bidi="ar"/>
              </w:rPr>
              <w:t>19</w:t>
            </w:r>
          </w:p>
        </w:tc>
        <w:tc>
          <w:tcPr>
            <w:tcW w:w="3555" w:type="dxa"/>
            <w:vAlign w:val="center"/>
          </w:tcPr>
          <w:p w14:paraId="2A4CDA3E">
            <w:pPr>
              <w:keepNext w:val="0"/>
              <w:keepLines w:val="0"/>
              <w:widowControl/>
              <w:suppressLineNumbers w:val="0"/>
              <w:ind w:firstLine="210" w:firstLineChars="10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行政事业性收费收入</w:t>
            </w:r>
          </w:p>
        </w:tc>
        <w:tc>
          <w:tcPr>
            <w:tcW w:w="900" w:type="dxa"/>
            <w:vAlign w:val="center"/>
          </w:tcPr>
          <w:p w14:paraId="6F940896">
            <w:pPr>
              <w:keepNext w:val="0"/>
              <w:keepLines w:val="0"/>
              <w:widowControl/>
              <w:suppressLineNumbers w:val="0"/>
              <w:jc w:val="left"/>
              <w:textAlignment w:val="center"/>
              <w:rPr>
                <w:rFonts w:hint="default" w:ascii="仿宋_GB2312" w:hAnsi="仿宋" w:eastAsia="仿宋_GB2312" w:cs="仿宋"/>
                <w:bCs/>
                <w:szCs w:val="21"/>
                <w:lang w:val="en-US"/>
              </w:rPr>
            </w:pPr>
            <w:r>
              <w:rPr>
                <w:rFonts w:hint="eastAsia" w:ascii="仿宋_GB2312" w:hAnsi="宋体" w:eastAsia="仿宋_GB2312" w:cs="仿宋_GB2312"/>
                <w:i w:val="0"/>
                <w:iCs w:val="0"/>
                <w:color w:val="000000"/>
                <w:kern w:val="0"/>
                <w:sz w:val="21"/>
                <w:szCs w:val="21"/>
                <w:u w:val="none"/>
                <w:lang w:val="en-US" w:eastAsia="zh-CN" w:bidi="ar"/>
              </w:rPr>
              <w:t>2300</w:t>
            </w:r>
          </w:p>
        </w:tc>
        <w:tc>
          <w:tcPr>
            <w:tcW w:w="2890" w:type="dxa"/>
            <w:vAlign w:val="center"/>
          </w:tcPr>
          <w:p w14:paraId="650327E4">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债务付息支出</w:t>
            </w:r>
          </w:p>
        </w:tc>
        <w:tc>
          <w:tcPr>
            <w:tcW w:w="899" w:type="dxa"/>
            <w:vAlign w:val="center"/>
          </w:tcPr>
          <w:p w14:paraId="74D682D0">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4712</w:t>
            </w:r>
          </w:p>
        </w:tc>
      </w:tr>
      <w:tr w14:paraId="0C912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Align w:val="center"/>
          </w:tcPr>
          <w:p w14:paraId="705CFE9A">
            <w:pPr>
              <w:keepNext w:val="0"/>
              <w:keepLines w:val="0"/>
              <w:widowControl/>
              <w:suppressLineNumbers w:val="0"/>
              <w:jc w:val="center"/>
              <w:textAlignment w:val="center"/>
              <w:rPr>
                <w:rFonts w:ascii="仿宋_GB2312" w:hAnsi="仿宋" w:eastAsia="仿宋_GB2312" w:cs="仿宋"/>
                <w:szCs w:val="21"/>
              </w:rPr>
            </w:pPr>
            <w:r>
              <w:rPr>
                <w:rFonts w:hint="eastAsia" w:ascii="仿宋_GB2312" w:hAnsi="宋体" w:eastAsia="仿宋_GB2312" w:cs="仿宋_GB2312"/>
                <w:i w:val="0"/>
                <w:iCs w:val="0"/>
                <w:color w:val="000000"/>
                <w:kern w:val="0"/>
                <w:sz w:val="21"/>
                <w:szCs w:val="21"/>
                <w:u w:val="none"/>
                <w:lang w:val="en-US" w:eastAsia="zh-CN" w:bidi="ar"/>
              </w:rPr>
              <w:t>20</w:t>
            </w:r>
          </w:p>
        </w:tc>
        <w:tc>
          <w:tcPr>
            <w:tcW w:w="3555" w:type="dxa"/>
            <w:vAlign w:val="center"/>
          </w:tcPr>
          <w:p w14:paraId="1C24897E">
            <w:pPr>
              <w:keepNext w:val="0"/>
              <w:keepLines w:val="0"/>
              <w:widowControl/>
              <w:suppressLineNumbers w:val="0"/>
              <w:ind w:firstLine="210" w:firstLineChars="10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罚没收入</w:t>
            </w:r>
          </w:p>
        </w:tc>
        <w:tc>
          <w:tcPr>
            <w:tcW w:w="900" w:type="dxa"/>
            <w:vAlign w:val="center"/>
          </w:tcPr>
          <w:p w14:paraId="068B2BD8">
            <w:pPr>
              <w:keepNext w:val="0"/>
              <w:keepLines w:val="0"/>
              <w:widowControl/>
              <w:suppressLineNumbers w:val="0"/>
              <w:jc w:val="left"/>
              <w:textAlignment w:val="center"/>
              <w:rPr>
                <w:rFonts w:hint="default" w:ascii="仿宋_GB2312" w:hAnsi="仿宋" w:eastAsia="仿宋_GB2312" w:cs="仿宋"/>
                <w:bCs/>
                <w:szCs w:val="21"/>
                <w:lang w:val="en-US"/>
              </w:rPr>
            </w:pPr>
            <w:r>
              <w:rPr>
                <w:rFonts w:hint="eastAsia" w:ascii="仿宋_GB2312" w:hAnsi="宋体" w:eastAsia="仿宋_GB2312" w:cs="仿宋_GB2312"/>
                <w:i w:val="0"/>
                <w:iCs w:val="0"/>
                <w:color w:val="000000"/>
                <w:kern w:val="0"/>
                <w:sz w:val="21"/>
                <w:szCs w:val="21"/>
                <w:u w:val="none"/>
                <w:lang w:val="en-US" w:eastAsia="zh-CN" w:bidi="ar"/>
              </w:rPr>
              <w:t>6500</w:t>
            </w:r>
          </w:p>
        </w:tc>
        <w:tc>
          <w:tcPr>
            <w:tcW w:w="2890" w:type="dxa"/>
            <w:vAlign w:val="center"/>
          </w:tcPr>
          <w:p w14:paraId="62F2D8AF">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预备费</w:t>
            </w:r>
          </w:p>
        </w:tc>
        <w:tc>
          <w:tcPr>
            <w:tcW w:w="899" w:type="dxa"/>
            <w:vAlign w:val="center"/>
          </w:tcPr>
          <w:p w14:paraId="113B1E3C">
            <w:pPr>
              <w:keepNext w:val="0"/>
              <w:keepLines w:val="0"/>
              <w:widowControl/>
              <w:suppressLineNumbers w:val="0"/>
              <w:jc w:val="left"/>
              <w:textAlignment w:val="center"/>
              <w:rPr>
                <w:rFonts w:hint="default" w:ascii="仿宋_GB2312" w:hAnsi="仿宋" w:eastAsia="仿宋_GB2312" w:cs="仿宋"/>
                <w:bCs/>
                <w:szCs w:val="21"/>
                <w:lang w:val="en-US"/>
              </w:rPr>
            </w:pPr>
            <w:r>
              <w:rPr>
                <w:rFonts w:hint="eastAsia" w:ascii="仿宋_GB2312" w:hAnsi="宋体" w:eastAsia="仿宋_GB2312" w:cs="仿宋_GB2312"/>
                <w:i w:val="0"/>
                <w:iCs w:val="0"/>
                <w:color w:val="000000"/>
                <w:kern w:val="0"/>
                <w:sz w:val="21"/>
                <w:szCs w:val="21"/>
                <w:u w:val="none"/>
                <w:lang w:val="en-US" w:eastAsia="zh-CN" w:bidi="ar"/>
              </w:rPr>
              <w:t>3300</w:t>
            </w:r>
          </w:p>
        </w:tc>
      </w:tr>
      <w:tr w14:paraId="7FAB8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Align w:val="center"/>
          </w:tcPr>
          <w:p w14:paraId="7584DAD4">
            <w:pPr>
              <w:keepNext w:val="0"/>
              <w:keepLines w:val="0"/>
              <w:widowControl/>
              <w:suppressLineNumbers w:val="0"/>
              <w:jc w:val="center"/>
              <w:textAlignment w:val="center"/>
              <w:rPr>
                <w:rFonts w:ascii="仿宋_GB2312" w:hAnsi="仿宋" w:eastAsia="仿宋_GB2312" w:cs="仿宋"/>
                <w:szCs w:val="21"/>
              </w:rPr>
            </w:pPr>
            <w:r>
              <w:rPr>
                <w:rFonts w:hint="eastAsia" w:ascii="仿宋_GB2312" w:hAnsi="宋体" w:eastAsia="仿宋_GB2312" w:cs="仿宋_GB2312"/>
                <w:i w:val="0"/>
                <w:iCs w:val="0"/>
                <w:color w:val="000000"/>
                <w:kern w:val="0"/>
                <w:sz w:val="21"/>
                <w:szCs w:val="21"/>
                <w:u w:val="none"/>
                <w:lang w:val="en-US" w:eastAsia="zh-CN" w:bidi="ar"/>
              </w:rPr>
              <w:t>21</w:t>
            </w:r>
          </w:p>
        </w:tc>
        <w:tc>
          <w:tcPr>
            <w:tcW w:w="3555" w:type="dxa"/>
            <w:vAlign w:val="center"/>
          </w:tcPr>
          <w:p w14:paraId="3BFE9AB6">
            <w:pPr>
              <w:keepNext w:val="0"/>
              <w:keepLines w:val="0"/>
              <w:widowControl/>
              <w:suppressLineNumbers w:val="0"/>
              <w:ind w:firstLine="210" w:firstLineChars="10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国有资源（资产）有偿使用收入</w:t>
            </w:r>
          </w:p>
        </w:tc>
        <w:tc>
          <w:tcPr>
            <w:tcW w:w="900" w:type="dxa"/>
            <w:vAlign w:val="center"/>
          </w:tcPr>
          <w:p w14:paraId="77387EEE">
            <w:pPr>
              <w:keepNext w:val="0"/>
              <w:keepLines w:val="0"/>
              <w:widowControl/>
              <w:suppressLineNumbers w:val="0"/>
              <w:jc w:val="left"/>
              <w:textAlignment w:val="center"/>
              <w:rPr>
                <w:rFonts w:hint="default" w:ascii="仿宋_GB2312" w:hAnsi="仿宋" w:eastAsia="仿宋_GB2312" w:cs="仿宋"/>
                <w:bCs/>
                <w:szCs w:val="21"/>
                <w:lang w:val="en-US"/>
              </w:rPr>
            </w:pPr>
            <w:r>
              <w:rPr>
                <w:rFonts w:hint="eastAsia" w:ascii="仿宋_GB2312" w:hAnsi="宋体" w:eastAsia="仿宋_GB2312" w:cs="仿宋_GB2312"/>
                <w:i w:val="0"/>
                <w:iCs w:val="0"/>
                <w:color w:val="000000"/>
                <w:kern w:val="0"/>
                <w:sz w:val="21"/>
                <w:szCs w:val="21"/>
                <w:highlight w:val="yellow"/>
                <w:u w:val="none"/>
                <w:lang w:val="en-US" w:eastAsia="zh-CN" w:bidi="ar"/>
              </w:rPr>
              <w:t>19350</w:t>
            </w:r>
          </w:p>
        </w:tc>
        <w:tc>
          <w:tcPr>
            <w:tcW w:w="2890" w:type="dxa"/>
            <w:vAlign w:val="center"/>
          </w:tcPr>
          <w:p w14:paraId="3772C2B4">
            <w:pPr>
              <w:keepNext w:val="0"/>
              <w:keepLines w:val="0"/>
              <w:widowControl/>
              <w:suppressLineNumbers w:val="0"/>
              <w:jc w:val="left"/>
              <w:textAlignment w:val="center"/>
              <w:rPr>
                <w:rFonts w:ascii="仿宋_GB2312" w:hAnsi="仿宋" w:eastAsia="仿宋_GB2312" w:cs="仿宋"/>
                <w:szCs w:val="21"/>
              </w:rPr>
            </w:pPr>
            <w:r>
              <w:rPr>
                <w:rFonts w:hint="eastAsia" w:ascii="仿宋_GB2312" w:hAnsi="宋体" w:eastAsia="仿宋_GB2312" w:cs="仿宋_GB2312"/>
                <w:i w:val="0"/>
                <w:iCs w:val="0"/>
                <w:color w:val="000000"/>
                <w:kern w:val="0"/>
                <w:sz w:val="21"/>
                <w:szCs w:val="21"/>
                <w:u w:val="none"/>
                <w:lang w:val="en-US" w:eastAsia="zh-CN" w:bidi="ar"/>
              </w:rPr>
              <w:t>灾害防治及应急管理支出</w:t>
            </w:r>
          </w:p>
        </w:tc>
        <w:tc>
          <w:tcPr>
            <w:tcW w:w="899" w:type="dxa"/>
            <w:vAlign w:val="center"/>
          </w:tcPr>
          <w:p w14:paraId="1E826A34">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1456</w:t>
            </w:r>
          </w:p>
        </w:tc>
      </w:tr>
      <w:tr w14:paraId="3BF88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Align w:val="center"/>
          </w:tcPr>
          <w:p w14:paraId="3D22D5EF">
            <w:pPr>
              <w:keepNext w:val="0"/>
              <w:keepLines w:val="0"/>
              <w:widowControl/>
              <w:suppressLineNumbers w:val="0"/>
              <w:jc w:val="center"/>
              <w:textAlignment w:val="center"/>
              <w:rPr>
                <w:rFonts w:ascii="仿宋_GB2312" w:hAnsi="仿宋" w:eastAsia="仿宋_GB2312" w:cs="仿宋"/>
                <w:szCs w:val="21"/>
              </w:rPr>
            </w:pPr>
            <w:r>
              <w:rPr>
                <w:rFonts w:hint="eastAsia" w:ascii="仿宋_GB2312" w:hAnsi="宋体" w:eastAsia="仿宋_GB2312" w:cs="仿宋_GB2312"/>
                <w:i w:val="0"/>
                <w:iCs w:val="0"/>
                <w:color w:val="000000"/>
                <w:kern w:val="0"/>
                <w:sz w:val="21"/>
                <w:szCs w:val="21"/>
                <w:u w:val="none"/>
                <w:lang w:val="en-US" w:eastAsia="zh-CN" w:bidi="ar"/>
              </w:rPr>
              <w:t>22</w:t>
            </w:r>
          </w:p>
        </w:tc>
        <w:tc>
          <w:tcPr>
            <w:tcW w:w="3555" w:type="dxa"/>
            <w:vAlign w:val="center"/>
          </w:tcPr>
          <w:p w14:paraId="7C033ECD">
            <w:pPr>
              <w:keepNext w:val="0"/>
              <w:keepLines w:val="0"/>
              <w:widowControl/>
              <w:suppressLineNumbers w:val="0"/>
              <w:ind w:firstLine="210" w:firstLineChars="10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捐赠收入</w:t>
            </w:r>
          </w:p>
        </w:tc>
        <w:tc>
          <w:tcPr>
            <w:tcW w:w="900" w:type="dxa"/>
            <w:vAlign w:val="center"/>
          </w:tcPr>
          <w:p w14:paraId="4E76AEEA">
            <w:pPr>
              <w:keepNext w:val="0"/>
              <w:keepLines w:val="0"/>
              <w:widowControl/>
              <w:suppressLineNumbers w:val="0"/>
              <w:jc w:val="left"/>
              <w:textAlignment w:val="center"/>
              <w:rPr>
                <w:rFonts w:hint="default" w:ascii="仿宋_GB2312" w:hAnsi="仿宋" w:eastAsia="仿宋_GB2312" w:cs="仿宋"/>
                <w:bCs/>
                <w:szCs w:val="21"/>
                <w:lang w:val="en-US"/>
              </w:rPr>
            </w:pPr>
            <w:r>
              <w:rPr>
                <w:rFonts w:hint="eastAsia" w:ascii="仿宋_GB2312" w:hAnsi="宋体" w:eastAsia="仿宋_GB2312" w:cs="仿宋_GB2312"/>
                <w:i w:val="0"/>
                <w:iCs w:val="0"/>
                <w:color w:val="000000"/>
                <w:kern w:val="0"/>
                <w:sz w:val="21"/>
                <w:szCs w:val="21"/>
                <w:u w:val="none"/>
                <w:lang w:val="en-US" w:eastAsia="zh-CN" w:bidi="ar"/>
              </w:rPr>
              <w:t>6500</w:t>
            </w:r>
          </w:p>
        </w:tc>
        <w:tc>
          <w:tcPr>
            <w:tcW w:w="2890" w:type="dxa"/>
            <w:vAlign w:val="center"/>
          </w:tcPr>
          <w:p w14:paraId="0A7F62D6">
            <w:pPr>
              <w:keepNext w:val="0"/>
              <w:keepLines w:val="0"/>
              <w:widowControl/>
              <w:suppressLineNumbers w:val="0"/>
              <w:jc w:val="left"/>
              <w:textAlignment w:val="center"/>
              <w:rPr>
                <w:rFonts w:ascii="仿宋_GB2312" w:hAnsi="仿宋" w:eastAsia="仿宋_GB2312" w:cs="仿宋"/>
                <w:szCs w:val="21"/>
              </w:rPr>
            </w:pPr>
            <w:r>
              <w:rPr>
                <w:rFonts w:hint="eastAsia" w:ascii="仿宋_GB2312" w:hAnsi="宋体" w:eastAsia="仿宋_GB2312" w:cs="仿宋_GB2312"/>
                <w:i w:val="0"/>
                <w:iCs w:val="0"/>
                <w:color w:val="000000"/>
                <w:kern w:val="0"/>
                <w:sz w:val="21"/>
                <w:szCs w:val="21"/>
                <w:u w:val="none"/>
                <w:lang w:val="en-US" w:eastAsia="zh-CN" w:bidi="ar"/>
              </w:rPr>
              <w:t>　</w:t>
            </w:r>
          </w:p>
        </w:tc>
        <w:tc>
          <w:tcPr>
            <w:tcW w:w="899" w:type="dxa"/>
            <w:vAlign w:val="center"/>
          </w:tcPr>
          <w:p w14:paraId="535CA7CF">
            <w:pPr>
              <w:keepNext w:val="0"/>
              <w:keepLines w:val="0"/>
              <w:widowControl/>
              <w:suppressLineNumbers w:val="0"/>
              <w:jc w:val="left"/>
              <w:textAlignment w:val="center"/>
              <w:rPr>
                <w:rFonts w:ascii="仿宋_GB2312" w:hAnsi="仿宋" w:eastAsia="仿宋_GB2312" w:cs="仿宋"/>
                <w:bCs/>
                <w:szCs w:val="21"/>
              </w:rPr>
            </w:pPr>
          </w:p>
        </w:tc>
      </w:tr>
      <w:tr w14:paraId="6A2D6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Align w:val="center"/>
          </w:tcPr>
          <w:p w14:paraId="0244DE39">
            <w:pPr>
              <w:keepNext w:val="0"/>
              <w:keepLines w:val="0"/>
              <w:widowControl/>
              <w:suppressLineNumbers w:val="0"/>
              <w:jc w:val="center"/>
              <w:textAlignment w:val="center"/>
              <w:rPr>
                <w:rFonts w:ascii="仿宋_GB2312" w:hAnsi="仿宋" w:eastAsia="仿宋_GB2312" w:cs="仿宋"/>
                <w:szCs w:val="21"/>
              </w:rPr>
            </w:pPr>
            <w:r>
              <w:rPr>
                <w:rFonts w:hint="eastAsia" w:ascii="仿宋_GB2312" w:hAnsi="宋体" w:eastAsia="仿宋_GB2312" w:cs="仿宋_GB2312"/>
                <w:i w:val="0"/>
                <w:iCs w:val="0"/>
                <w:color w:val="000000"/>
                <w:kern w:val="0"/>
                <w:sz w:val="21"/>
                <w:szCs w:val="21"/>
                <w:u w:val="none"/>
                <w:lang w:val="en-US" w:eastAsia="zh-CN" w:bidi="ar"/>
              </w:rPr>
              <w:t>23</w:t>
            </w:r>
          </w:p>
        </w:tc>
        <w:tc>
          <w:tcPr>
            <w:tcW w:w="3555" w:type="dxa"/>
            <w:vAlign w:val="center"/>
          </w:tcPr>
          <w:p w14:paraId="1CE8C8F2">
            <w:pPr>
              <w:keepNext w:val="0"/>
              <w:keepLines w:val="0"/>
              <w:widowControl/>
              <w:suppressLineNumbers w:val="0"/>
              <w:ind w:firstLine="210" w:firstLineChars="10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政府住房基金收入</w:t>
            </w:r>
          </w:p>
        </w:tc>
        <w:tc>
          <w:tcPr>
            <w:tcW w:w="900" w:type="dxa"/>
            <w:vAlign w:val="center"/>
          </w:tcPr>
          <w:p w14:paraId="4E56908A">
            <w:pPr>
              <w:keepNext w:val="0"/>
              <w:keepLines w:val="0"/>
              <w:widowControl/>
              <w:suppressLineNumbers w:val="0"/>
              <w:jc w:val="left"/>
              <w:textAlignment w:val="center"/>
              <w:rPr>
                <w:rFonts w:hint="default" w:ascii="仿宋_GB2312" w:hAnsi="仿宋" w:eastAsia="仿宋_GB2312" w:cs="仿宋"/>
                <w:bCs/>
                <w:szCs w:val="21"/>
                <w:lang w:val="en-US"/>
              </w:rPr>
            </w:pPr>
            <w:r>
              <w:rPr>
                <w:rFonts w:hint="eastAsia" w:ascii="仿宋_GB2312" w:hAnsi="宋体" w:eastAsia="仿宋_GB2312" w:cs="仿宋_GB2312"/>
                <w:i w:val="0"/>
                <w:iCs w:val="0"/>
                <w:color w:val="000000"/>
                <w:kern w:val="0"/>
                <w:sz w:val="21"/>
                <w:szCs w:val="21"/>
                <w:u w:val="none"/>
                <w:lang w:val="en-US" w:eastAsia="zh-CN" w:bidi="ar"/>
              </w:rPr>
              <w:t>340</w:t>
            </w:r>
          </w:p>
        </w:tc>
        <w:tc>
          <w:tcPr>
            <w:tcW w:w="2890" w:type="dxa"/>
            <w:vAlign w:val="center"/>
          </w:tcPr>
          <w:p w14:paraId="03E8A364">
            <w:pPr>
              <w:jc w:val="left"/>
              <w:rPr>
                <w:rFonts w:ascii="仿宋_GB2312" w:hAnsi="仿宋" w:eastAsia="仿宋_GB2312" w:cs="仿宋"/>
                <w:szCs w:val="21"/>
              </w:rPr>
            </w:pPr>
          </w:p>
        </w:tc>
        <w:tc>
          <w:tcPr>
            <w:tcW w:w="899" w:type="dxa"/>
            <w:vAlign w:val="center"/>
          </w:tcPr>
          <w:p w14:paraId="02BDA899">
            <w:pPr>
              <w:jc w:val="left"/>
              <w:rPr>
                <w:rFonts w:ascii="仿宋_GB2312" w:hAnsi="仿宋" w:eastAsia="仿宋_GB2312" w:cs="仿宋"/>
                <w:bCs/>
                <w:szCs w:val="21"/>
              </w:rPr>
            </w:pPr>
          </w:p>
        </w:tc>
      </w:tr>
      <w:tr w14:paraId="463C4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Align w:val="center"/>
          </w:tcPr>
          <w:p w14:paraId="5721095B">
            <w:pPr>
              <w:keepNext w:val="0"/>
              <w:keepLines w:val="0"/>
              <w:widowControl/>
              <w:suppressLineNumbers w:val="0"/>
              <w:jc w:val="center"/>
              <w:textAlignment w:val="center"/>
              <w:rPr>
                <w:rFonts w:ascii="仿宋_GB2312" w:hAnsi="仿宋" w:eastAsia="仿宋_GB2312" w:cs="仿宋"/>
                <w:szCs w:val="21"/>
              </w:rPr>
            </w:pPr>
            <w:r>
              <w:rPr>
                <w:rFonts w:hint="eastAsia" w:ascii="仿宋_GB2312" w:hAnsi="宋体" w:eastAsia="仿宋_GB2312" w:cs="仿宋_GB2312"/>
                <w:i w:val="0"/>
                <w:iCs w:val="0"/>
                <w:color w:val="000000"/>
                <w:kern w:val="0"/>
                <w:sz w:val="21"/>
                <w:szCs w:val="21"/>
                <w:u w:val="none"/>
                <w:lang w:val="en-US" w:eastAsia="zh-CN" w:bidi="ar"/>
              </w:rPr>
              <w:t>24</w:t>
            </w:r>
          </w:p>
        </w:tc>
        <w:tc>
          <w:tcPr>
            <w:tcW w:w="3555" w:type="dxa"/>
            <w:vAlign w:val="center"/>
          </w:tcPr>
          <w:p w14:paraId="5DEA4A48">
            <w:pPr>
              <w:keepNext w:val="0"/>
              <w:keepLines w:val="0"/>
              <w:widowControl/>
              <w:suppressLineNumbers w:val="0"/>
              <w:ind w:firstLine="210" w:firstLineChars="10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其他收入</w:t>
            </w:r>
          </w:p>
        </w:tc>
        <w:tc>
          <w:tcPr>
            <w:tcW w:w="900" w:type="dxa"/>
            <w:vAlign w:val="center"/>
          </w:tcPr>
          <w:p w14:paraId="55C76358">
            <w:pPr>
              <w:keepNext w:val="0"/>
              <w:keepLines w:val="0"/>
              <w:widowControl/>
              <w:suppressLineNumbers w:val="0"/>
              <w:jc w:val="left"/>
              <w:textAlignment w:val="center"/>
              <w:rPr>
                <w:rFonts w:hint="default" w:ascii="仿宋_GB2312" w:hAnsi="仿宋" w:eastAsia="仿宋_GB2312" w:cs="仿宋"/>
                <w:bCs/>
                <w:szCs w:val="21"/>
                <w:lang w:val="en-US"/>
              </w:rPr>
            </w:pPr>
            <w:r>
              <w:rPr>
                <w:rFonts w:hint="eastAsia" w:ascii="仿宋_GB2312" w:hAnsi="宋体" w:eastAsia="仿宋_GB2312" w:cs="仿宋_GB2312"/>
                <w:i w:val="0"/>
                <w:iCs w:val="0"/>
                <w:color w:val="000000"/>
                <w:kern w:val="0"/>
                <w:sz w:val="21"/>
                <w:szCs w:val="21"/>
                <w:u w:val="none"/>
                <w:lang w:val="en-US" w:eastAsia="zh-CN" w:bidi="ar"/>
              </w:rPr>
              <w:t>920</w:t>
            </w:r>
          </w:p>
        </w:tc>
        <w:tc>
          <w:tcPr>
            <w:tcW w:w="2890" w:type="dxa"/>
            <w:vAlign w:val="center"/>
          </w:tcPr>
          <w:p w14:paraId="7DF716B4">
            <w:pPr>
              <w:jc w:val="center"/>
              <w:rPr>
                <w:rFonts w:ascii="仿宋_GB2312" w:hAnsi="仿宋" w:eastAsia="仿宋_GB2312" w:cs="仿宋"/>
                <w:szCs w:val="21"/>
              </w:rPr>
            </w:pPr>
          </w:p>
        </w:tc>
        <w:tc>
          <w:tcPr>
            <w:tcW w:w="899" w:type="dxa"/>
            <w:vAlign w:val="center"/>
          </w:tcPr>
          <w:p w14:paraId="3A9983D7">
            <w:pPr>
              <w:jc w:val="left"/>
              <w:rPr>
                <w:rFonts w:ascii="仿宋_GB2312" w:hAnsi="仿宋" w:eastAsia="仿宋_GB2312" w:cs="仿宋"/>
                <w:szCs w:val="21"/>
              </w:rPr>
            </w:pPr>
          </w:p>
        </w:tc>
      </w:tr>
      <w:tr w14:paraId="41685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Align w:val="center"/>
          </w:tcPr>
          <w:p w14:paraId="2006589A">
            <w:pPr>
              <w:keepNext w:val="0"/>
              <w:keepLines w:val="0"/>
              <w:widowControl/>
              <w:suppressLineNumbers w:val="0"/>
              <w:jc w:val="center"/>
              <w:textAlignment w:val="center"/>
              <w:rPr>
                <w:rFonts w:ascii="仿宋_GB2312" w:hAnsi="仿宋" w:eastAsia="仿宋_GB2312" w:cs="仿宋"/>
                <w:szCs w:val="21"/>
              </w:rPr>
            </w:pPr>
            <w:r>
              <w:rPr>
                <w:rFonts w:hint="eastAsia" w:ascii="仿宋_GB2312" w:hAnsi="宋体" w:eastAsia="仿宋_GB2312" w:cs="仿宋_GB2312"/>
                <w:i w:val="0"/>
                <w:iCs w:val="0"/>
                <w:color w:val="000000"/>
                <w:kern w:val="0"/>
                <w:sz w:val="21"/>
                <w:szCs w:val="21"/>
                <w:u w:val="none"/>
                <w:lang w:val="en-US" w:eastAsia="zh-CN" w:bidi="ar"/>
              </w:rPr>
              <w:t>25</w:t>
            </w:r>
          </w:p>
        </w:tc>
        <w:tc>
          <w:tcPr>
            <w:tcW w:w="3555" w:type="dxa"/>
            <w:vAlign w:val="center"/>
          </w:tcPr>
          <w:p w14:paraId="6EAA42D0">
            <w:pPr>
              <w:keepNext w:val="0"/>
              <w:keepLines w:val="0"/>
              <w:widowControl/>
              <w:suppressLineNumbers w:val="0"/>
              <w:jc w:val="center"/>
              <w:textAlignment w:val="center"/>
              <w:rPr>
                <w:rFonts w:ascii="仿宋_GB2312" w:hAnsi="仿宋" w:eastAsia="仿宋_GB2312" w:cs="仿宋"/>
                <w:bCs/>
                <w:szCs w:val="21"/>
              </w:rPr>
            </w:pPr>
            <w:r>
              <w:rPr>
                <w:rFonts w:hint="eastAsia" w:ascii="仿宋_GB2312" w:hAnsi="宋体" w:eastAsia="仿宋_GB2312" w:cs="仿宋_GB2312"/>
                <w:b/>
                <w:bCs/>
                <w:i w:val="0"/>
                <w:iCs w:val="0"/>
                <w:color w:val="000000"/>
                <w:kern w:val="0"/>
                <w:sz w:val="21"/>
                <w:szCs w:val="21"/>
                <w:u w:val="none"/>
                <w:lang w:val="en-US" w:eastAsia="zh-CN" w:bidi="ar"/>
              </w:rPr>
              <w:t>本年收入合计</w:t>
            </w:r>
          </w:p>
        </w:tc>
        <w:tc>
          <w:tcPr>
            <w:tcW w:w="900" w:type="dxa"/>
            <w:vAlign w:val="center"/>
          </w:tcPr>
          <w:p w14:paraId="70A7929B">
            <w:pPr>
              <w:keepNext w:val="0"/>
              <w:keepLines w:val="0"/>
              <w:widowControl/>
              <w:suppressLineNumbers w:val="0"/>
              <w:jc w:val="left"/>
              <w:textAlignment w:val="center"/>
              <w:rPr>
                <w:rFonts w:hint="default" w:ascii="仿宋_GB2312" w:hAnsi="仿宋" w:eastAsia="仿宋_GB2312" w:cs="仿宋"/>
                <w:bCs/>
                <w:szCs w:val="21"/>
                <w:lang w:val="en-US"/>
              </w:rPr>
            </w:pPr>
            <w:r>
              <w:rPr>
                <w:rFonts w:hint="eastAsia" w:ascii="仿宋_GB2312" w:hAnsi="宋体" w:eastAsia="仿宋_GB2312" w:cs="仿宋_GB2312"/>
                <w:b/>
                <w:bCs/>
                <w:i w:val="0"/>
                <w:iCs w:val="0"/>
                <w:color w:val="000000"/>
                <w:kern w:val="0"/>
                <w:sz w:val="21"/>
                <w:szCs w:val="21"/>
                <w:u w:val="none"/>
                <w:lang w:val="en-US" w:eastAsia="zh-CN" w:bidi="ar"/>
              </w:rPr>
              <w:t>195800</w:t>
            </w:r>
          </w:p>
        </w:tc>
        <w:tc>
          <w:tcPr>
            <w:tcW w:w="2890" w:type="dxa"/>
            <w:vAlign w:val="center"/>
          </w:tcPr>
          <w:p w14:paraId="44CDC9AA">
            <w:pPr>
              <w:keepNext w:val="0"/>
              <w:keepLines w:val="0"/>
              <w:widowControl/>
              <w:suppressLineNumbers w:val="0"/>
              <w:jc w:val="center"/>
              <w:textAlignment w:val="center"/>
              <w:rPr>
                <w:rFonts w:ascii="仿宋_GB2312" w:hAnsi="仿宋" w:eastAsia="仿宋_GB2312" w:cs="仿宋"/>
                <w:szCs w:val="21"/>
              </w:rPr>
            </w:pPr>
            <w:r>
              <w:rPr>
                <w:rFonts w:hint="eastAsia" w:ascii="仿宋_GB2312" w:hAnsi="宋体" w:eastAsia="仿宋_GB2312" w:cs="仿宋_GB2312"/>
                <w:b/>
                <w:bCs/>
                <w:i w:val="0"/>
                <w:iCs w:val="0"/>
                <w:color w:val="000000"/>
                <w:kern w:val="0"/>
                <w:sz w:val="21"/>
                <w:szCs w:val="21"/>
                <w:u w:val="none"/>
                <w:lang w:val="en-US" w:eastAsia="zh-CN" w:bidi="ar"/>
              </w:rPr>
              <w:t>本年支出合计</w:t>
            </w:r>
          </w:p>
        </w:tc>
        <w:tc>
          <w:tcPr>
            <w:tcW w:w="899" w:type="dxa"/>
            <w:vAlign w:val="center"/>
          </w:tcPr>
          <w:p w14:paraId="718C61A3">
            <w:pPr>
              <w:keepNext w:val="0"/>
              <w:keepLines w:val="0"/>
              <w:widowControl/>
              <w:suppressLineNumbers w:val="0"/>
              <w:jc w:val="left"/>
              <w:textAlignment w:val="center"/>
              <w:rPr>
                <w:rFonts w:hint="default" w:ascii="仿宋_GB2312" w:hAnsi="仿宋" w:eastAsia="仿宋_GB2312" w:cs="仿宋"/>
                <w:szCs w:val="21"/>
                <w:lang w:val="en-US"/>
              </w:rPr>
            </w:pPr>
            <w:r>
              <w:rPr>
                <w:rFonts w:hint="eastAsia" w:ascii="仿宋_GB2312" w:hAnsi="宋体" w:eastAsia="仿宋_GB2312" w:cs="仿宋_GB2312"/>
                <w:b/>
                <w:bCs/>
                <w:i w:val="0"/>
                <w:iCs w:val="0"/>
                <w:color w:val="000000"/>
                <w:kern w:val="0"/>
                <w:sz w:val="21"/>
                <w:szCs w:val="21"/>
                <w:u w:val="none"/>
                <w:lang w:val="en-US" w:eastAsia="zh-CN" w:bidi="ar"/>
              </w:rPr>
              <w:t>330135</w:t>
            </w:r>
          </w:p>
        </w:tc>
      </w:tr>
      <w:tr w14:paraId="261F2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Align w:val="center"/>
          </w:tcPr>
          <w:p w14:paraId="1FC1F119">
            <w:pPr>
              <w:keepNext w:val="0"/>
              <w:keepLines w:val="0"/>
              <w:widowControl/>
              <w:suppressLineNumbers w:val="0"/>
              <w:jc w:val="center"/>
              <w:textAlignment w:val="center"/>
              <w:rPr>
                <w:rFonts w:ascii="仿宋_GB2312" w:hAnsi="仿宋" w:eastAsia="仿宋_GB2312" w:cs="仿宋"/>
                <w:szCs w:val="21"/>
              </w:rPr>
            </w:pPr>
            <w:r>
              <w:rPr>
                <w:rFonts w:hint="eastAsia" w:ascii="仿宋_GB2312" w:hAnsi="宋体" w:eastAsia="仿宋_GB2312" w:cs="仿宋_GB2312"/>
                <w:i w:val="0"/>
                <w:iCs w:val="0"/>
                <w:color w:val="000000"/>
                <w:kern w:val="0"/>
                <w:sz w:val="21"/>
                <w:szCs w:val="21"/>
                <w:u w:val="none"/>
                <w:lang w:val="en-US" w:eastAsia="zh-CN" w:bidi="ar"/>
              </w:rPr>
              <w:t>26</w:t>
            </w:r>
          </w:p>
        </w:tc>
        <w:tc>
          <w:tcPr>
            <w:tcW w:w="3555" w:type="dxa"/>
            <w:vAlign w:val="center"/>
          </w:tcPr>
          <w:p w14:paraId="71F538FB">
            <w:pPr>
              <w:keepNext w:val="0"/>
              <w:keepLines w:val="0"/>
              <w:widowControl/>
              <w:suppressLineNumbers w:val="0"/>
              <w:jc w:val="left"/>
              <w:textAlignment w:val="center"/>
              <w:rPr>
                <w:rFonts w:ascii="仿宋_GB2312" w:hAnsi="仿宋" w:eastAsia="仿宋_GB2312" w:cs="仿宋"/>
                <w:b/>
                <w:szCs w:val="21"/>
              </w:rPr>
            </w:pPr>
            <w:r>
              <w:rPr>
                <w:rFonts w:hint="eastAsia" w:ascii="仿宋_GB2312" w:hAnsi="宋体" w:eastAsia="仿宋_GB2312" w:cs="仿宋_GB2312"/>
                <w:i w:val="0"/>
                <w:iCs w:val="0"/>
                <w:color w:val="000000"/>
                <w:kern w:val="0"/>
                <w:sz w:val="21"/>
                <w:szCs w:val="21"/>
                <w:u w:val="none"/>
                <w:lang w:val="en-US" w:eastAsia="zh-CN" w:bidi="ar"/>
              </w:rPr>
              <w:t>本年收入</w:t>
            </w:r>
          </w:p>
        </w:tc>
        <w:tc>
          <w:tcPr>
            <w:tcW w:w="900" w:type="dxa"/>
            <w:vAlign w:val="center"/>
          </w:tcPr>
          <w:p w14:paraId="01D9570A">
            <w:pPr>
              <w:keepNext w:val="0"/>
              <w:keepLines w:val="0"/>
              <w:widowControl/>
              <w:suppressLineNumbers w:val="0"/>
              <w:jc w:val="left"/>
              <w:textAlignment w:val="center"/>
              <w:rPr>
                <w:rFonts w:hint="default" w:ascii="仿宋_GB2312" w:hAnsi="仿宋" w:eastAsia="仿宋_GB2312" w:cs="仿宋"/>
                <w:b/>
                <w:szCs w:val="21"/>
                <w:lang w:val="en-US"/>
              </w:rPr>
            </w:pPr>
            <w:r>
              <w:rPr>
                <w:rFonts w:hint="eastAsia" w:ascii="仿宋_GB2312" w:hAnsi="宋体" w:eastAsia="仿宋_GB2312" w:cs="仿宋_GB2312"/>
                <w:i w:val="0"/>
                <w:iCs w:val="0"/>
                <w:color w:val="000000"/>
                <w:kern w:val="0"/>
                <w:sz w:val="21"/>
                <w:szCs w:val="21"/>
                <w:u w:val="none"/>
                <w:lang w:val="en-US" w:eastAsia="zh-CN" w:bidi="ar"/>
              </w:rPr>
              <w:t>195800</w:t>
            </w:r>
          </w:p>
        </w:tc>
        <w:tc>
          <w:tcPr>
            <w:tcW w:w="2890" w:type="dxa"/>
            <w:vAlign w:val="center"/>
          </w:tcPr>
          <w:p w14:paraId="506F616C">
            <w:pPr>
              <w:keepNext w:val="0"/>
              <w:keepLines w:val="0"/>
              <w:widowControl/>
              <w:suppressLineNumbers w:val="0"/>
              <w:jc w:val="left"/>
              <w:textAlignment w:val="center"/>
              <w:rPr>
                <w:rFonts w:ascii="仿宋_GB2312" w:hAnsi="仿宋" w:eastAsia="仿宋_GB2312" w:cs="仿宋"/>
                <w:b/>
                <w:szCs w:val="21"/>
              </w:rPr>
            </w:pPr>
            <w:r>
              <w:rPr>
                <w:rFonts w:hint="eastAsia" w:ascii="仿宋_GB2312" w:hAnsi="宋体" w:eastAsia="仿宋_GB2312" w:cs="仿宋_GB2312"/>
                <w:i w:val="0"/>
                <w:iCs w:val="0"/>
                <w:color w:val="000000"/>
                <w:kern w:val="0"/>
                <w:sz w:val="21"/>
                <w:szCs w:val="21"/>
                <w:u w:val="none"/>
                <w:lang w:val="en-US" w:eastAsia="zh-CN" w:bidi="ar"/>
              </w:rPr>
              <w:t xml:space="preserve">本年支出 </w:t>
            </w:r>
            <w:r>
              <w:rPr>
                <w:rStyle w:val="32"/>
                <w:rFonts w:hAnsi="宋体"/>
                <w:lang w:val="en-US" w:eastAsia="zh-CN" w:bidi="ar"/>
              </w:rPr>
              <w:t xml:space="preserve">                            </w:t>
            </w:r>
          </w:p>
        </w:tc>
        <w:tc>
          <w:tcPr>
            <w:tcW w:w="899" w:type="dxa"/>
            <w:vAlign w:val="center"/>
          </w:tcPr>
          <w:p w14:paraId="117B3AB8">
            <w:pPr>
              <w:keepNext w:val="0"/>
              <w:keepLines w:val="0"/>
              <w:widowControl/>
              <w:suppressLineNumbers w:val="0"/>
              <w:jc w:val="left"/>
              <w:textAlignment w:val="center"/>
              <w:rPr>
                <w:rFonts w:hint="default" w:ascii="仿宋_GB2312" w:hAnsi="仿宋" w:eastAsia="仿宋_GB2312" w:cs="仿宋"/>
                <w:b/>
                <w:szCs w:val="21"/>
                <w:lang w:val="en-US"/>
              </w:rPr>
            </w:pPr>
            <w:r>
              <w:rPr>
                <w:rFonts w:hint="eastAsia" w:ascii="仿宋_GB2312" w:hAnsi="宋体" w:eastAsia="仿宋_GB2312" w:cs="仿宋_GB2312"/>
                <w:i w:val="0"/>
                <w:iCs w:val="0"/>
                <w:color w:val="000000"/>
                <w:kern w:val="0"/>
                <w:sz w:val="21"/>
                <w:szCs w:val="21"/>
                <w:u w:val="none"/>
                <w:lang w:val="en-US" w:eastAsia="zh-CN" w:bidi="ar"/>
              </w:rPr>
              <w:t>330135</w:t>
            </w:r>
          </w:p>
        </w:tc>
      </w:tr>
      <w:tr w14:paraId="2B59C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Align w:val="center"/>
          </w:tcPr>
          <w:p w14:paraId="6F594DB9">
            <w:pPr>
              <w:keepNext w:val="0"/>
              <w:keepLines w:val="0"/>
              <w:widowControl/>
              <w:suppressLineNumbers w:val="0"/>
              <w:jc w:val="center"/>
              <w:textAlignment w:val="center"/>
              <w:rPr>
                <w:rFonts w:ascii="仿宋_GB2312" w:hAnsi="仿宋" w:eastAsia="仿宋_GB2312" w:cs="仿宋"/>
                <w:szCs w:val="21"/>
              </w:rPr>
            </w:pPr>
            <w:r>
              <w:rPr>
                <w:rFonts w:hint="eastAsia" w:ascii="仿宋_GB2312" w:hAnsi="宋体" w:eastAsia="仿宋_GB2312" w:cs="仿宋_GB2312"/>
                <w:i w:val="0"/>
                <w:iCs w:val="0"/>
                <w:color w:val="000000"/>
                <w:kern w:val="0"/>
                <w:sz w:val="21"/>
                <w:szCs w:val="21"/>
                <w:u w:val="none"/>
                <w:lang w:val="en-US" w:eastAsia="zh-CN" w:bidi="ar"/>
              </w:rPr>
              <w:t>27</w:t>
            </w:r>
          </w:p>
        </w:tc>
        <w:tc>
          <w:tcPr>
            <w:tcW w:w="3555" w:type="dxa"/>
            <w:vAlign w:val="center"/>
          </w:tcPr>
          <w:p w14:paraId="6DAF45B4">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上级补助收入</w:t>
            </w:r>
          </w:p>
        </w:tc>
        <w:tc>
          <w:tcPr>
            <w:tcW w:w="900" w:type="dxa"/>
            <w:vAlign w:val="center"/>
          </w:tcPr>
          <w:p w14:paraId="0BEACC98">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147692</w:t>
            </w:r>
          </w:p>
        </w:tc>
        <w:tc>
          <w:tcPr>
            <w:tcW w:w="2890" w:type="dxa"/>
            <w:vAlign w:val="center"/>
          </w:tcPr>
          <w:p w14:paraId="22F5AAB4">
            <w:pPr>
              <w:keepNext w:val="0"/>
              <w:keepLines w:val="0"/>
              <w:widowControl/>
              <w:suppressLineNumbers w:val="0"/>
              <w:ind w:firstLine="210" w:firstLineChars="10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上解上级支出</w:t>
            </w:r>
          </w:p>
        </w:tc>
        <w:tc>
          <w:tcPr>
            <w:tcW w:w="899" w:type="dxa"/>
            <w:vAlign w:val="center"/>
          </w:tcPr>
          <w:p w14:paraId="71BD134A">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38668</w:t>
            </w:r>
          </w:p>
        </w:tc>
      </w:tr>
      <w:tr w14:paraId="46602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735" w:type="dxa"/>
            <w:vAlign w:val="center"/>
          </w:tcPr>
          <w:p w14:paraId="75BFDE89">
            <w:pPr>
              <w:keepNext w:val="0"/>
              <w:keepLines w:val="0"/>
              <w:widowControl/>
              <w:suppressLineNumbers w:val="0"/>
              <w:jc w:val="center"/>
              <w:textAlignment w:val="center"/>
              <w:rPr>
                <w:rFonts w:ascii="仿宋_GB2312" w:hAnsi="仿宋" w:eastAsia="仿宋_GB2312" w:cs="仿宋"/>
                <w:szCs w:val="21"/>
              </w:rPr>
            </w:pPr>
            <w:r>
              <w:rPr>
                <w:rFonts w:hint="eastAsia" w:ascii="仿宋_GB2312" w:hAnsi="宋体" w:eastAsia="仿宋_GB2312" w:cs="仿宋_GB2312"/>
                <w:i w:val="0"/>
                <w:iCs w:val="0"/>
                <w:color w:val="000000"/>
                <w:kern w:val="0"/>
                <w:sz w:val="21"/>
                <w:szCs w:val="21"/>
                <w:u w:val="none"/>
                <w:lang w:val="en-US" w:eastAsia="zh-CN" w:bidi="ar"/>
              </w:rPr>
              <w:t>28</w:t>
            </w:r>
          </w:p>
        </w:tc>
        <w:tc>
          <w:tcPr>
            <w:tcW w:w="3555" w:type="dxa"/>
            <w:vAlign w:val="center"/>
          </w:tcPr>
          <w:p w14:paraId="774CF35B">
            <w:pPr>
              <w:keepNext w:val="0"/>
              <w:keepLines w:val="0"/>
              <w:widowControl/>
              <w:suppressLineNumbers w:val="0"/>
              <w:ind w:firstLine="210" w:firstLineChars="10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1.返还性收入</w:t>
            </w:r>
          </w:p>
        </w:tc>
        <w:tc>
          <w:tcPr>
            <w:tcW w:w="900" w:type="dxa"/>
            <w:vAlign w:val="center"/>
          </w:tcPr>
          <w:p w14:paraId="1FA19013">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1813</w:t>
            </w:r>
          </w:p>
        </w:tc>
        <w:tc>
          <w:tcPr>
            <w:tcW w:w="2890" w:type="dxa"/>
            <w:vAlign w:val="center"/>
          </w:tcPr>
          <w:p w14:paraId="27C4DC1F">
            <w:pPr>
              <w:keepNext w:val="0"/>
              <w:keepLines w:val="0"/>
              <w:widowControl/>
              <w:suppressLineNumbers w:val="0"/>
              <w:ind w:firstLine="420" w:firstLineChars="20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1.体制上解支出</w:t>
            </w:r>
          </w:p>
        </w:tc>
        <w:tc>
          <w:tcPr>
            <w:tcW w:w="899" w:type="dxa"/>
            <w:vAlign w:val="center"/>
          </w:tcPr>
          <w:p w14:paraId="18CAE040">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2907</w:t>
            </w:r>
          </w:p>
        </w:tc>
      </w:tr>
      <w:tr w14:paraId="520EC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Align w:val="center"/>
          </w:tcPr>
          <w:p w14:paraId="2ACEC1A8">
            <w:pPr>
              <w:keepNext w:val="0"/>
              <w:keepLines w:val="0"/>
              <w:widowControl/>
              <w:suppressLineNumbers w:val="0"/>
              <w:jc w:val="center"/>
              <w:textAlignment w:val="center"/>
              <w:rPr>
                <w:rFonts w:ascii="仿宋_GB2312" w:hAnsi="仿宋" w:eastAsia="仿宋_GB2312" w:cs="仿宋"/>
                <w:szCs w:val="21"/>
              </w:rPr>
            </w:pPr>
            <w:r>
              <w:rPr>
                <w:rFonts w:hint="eastAsia" w:ascii="仿宋_GB2312" w:hAnsi="宋体" w:eastAsia="仿宋_GB2312" w:cs="仿宋_GB2312"/>
                <w:i w:val="0"/>
                <w:iCs w:val="0"/>
                <w:color w:val="000000"/>
                <w:kern w:val="0"/>
                <w:sz w:val="21"/>
                <w:szCs w:val="21"/>
                <w:u w:val="none"/>
                <w:lang w:val="en-US" w:eastAsia="zh-CN" w:bidi="ar"/>
              </w:rPr>
              <w:t>29</w:t>
            </w:r>
          </w:p>
        </w:tc>
        <w:tc>
          <w:tcPr>
            <w:tcW w:w="3555" w:type="dxa"/>
            <w:vAlign w:val="center"/>
          </w:tcPr>
          <w:p w14:paraId="74F6A667">
            <w:pPr>
              <w:keepNext w:val="0"/>
              <w:keepLines w:val="0"/>
              <w:widowControl/>
              <w:suppressLineNumbers w:val="0"/>
              <w:ind w:firstLine="210" w:firstLineChars="10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2.财力性转移支付收入</w:t>
            </w:r>
          </w:p>
        </w:tc>
        <w:tc>
          <w:tcPr>
            <w:tcW w:w="900" w:type="dxa"/>
            <w:vAlign w:val="center"/>
          </w:tcPr>
          <w:p w14:paraId="1A64BF8C">
            <w:pPr>
              <w:keepNext w:val="0"/>
              <w:keepLines w:val="0"/>
              <w:widowControl/>
              <w:suppressLineNumbers w:val="0"/>
              <w:jc w:val="left"/>
              <w:textAlignment w:val="center"/>
              <w:rPr>
                <w:rFonts w:hint="default" w:ascii="仿宋_GB2312" w:hAnsi="仿宋" w:eastAsia="仿宋_GB2312" w:cs="仿宋"/>
                <w:bCs/>
                <w:szCs w:val="21"/>
                <w:lang w:val="en-US"/>
              </w:rPr>
            </w:pPr>
            <w:r>
              <w:rPr>
                <w:rFonts w:hint="eastAsia" w:ascii="仿宋_GB2312" w:hAnsi="宋体" w:eastAsia="仿宋_GB2312" w:cs="仿宋_GB2312"/>
                <w:i w:val="0"/>
                <w:iCs w:val="0"/>
                <w:color w:val="000000"/>
                <w:kern w:val="0"/>
                <w:sz w:val="21"/>
                <w:szCs w:val="21"/>
                <w:u w:val="none"/>
                <w:lang w:val="en-US" w:eastAsia="zh-CN" w:bidi="ar"/>
              </w:rPr>
              <w:t>91943</w:t>
            </w:r>
          </w:p>
        </w:tc>
        <w:tc>
          <w:tcPr>
            <w:tcW w:w="2890" w:type="dxa"/>
            <w:vAlign w:val="center"/>
          </w:tcPr>
          <w:p w14:paraId="72B4E675">
            <w:pPr>
              <w:keepNext w:val="0"/>
              <w:keepLines w:val="0"/>
              <w:widowControl/>
              <w:suppressLineNumbers w:val="0"/>
              <w:ind w:firstLine="420" w:firstLineChars="20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2.专项上解支出</w:t>
            </w:r>
          </w:p>
        </w:tc>
        <w:tc>
          <w:tcPr>
            <w:tcW w:w="899" w:type="dxa"/>
            <w:vAlign w:val="center"/>
          </w:tcPr>
          <w:p w14:paraId="0E6642EA">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35761</w:t>
            </w:r>
          </w:p>
        </w:tc>
      </w:tr>
      <w:tr w14:paraId="7275F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Align w:val="center"/>
          </w:tcPr>
          <w:p w14:paraId="2141A0B1">
            <w:pPr>
              <w:keepNext w:val="0"/>
              <w:keepLines w:val="0"/>
              <w:widowControl/>
              <w:suppressLineNumbers w:val="0"/>
              <w:jc w:val="center"/>
              <w:textAlignment w:val="center"/>
              <w:rPr>
                <w:rFonts w:ascii="仿宋_GB2312" w:hAnsi="仿宋" w:eastAsia="仿宋_GB2312" w:cs="仿宋"/>
                <w:szCs w:val="21"/>
              </w:rPr>
            </w:pPr>
            <w:r>
              <w:rPr>
                <w:rFonts w:hint="eastAsia" w:ascii="仿宋_GB2312" w:hAnsi="宋体" w:eastAsia="仿宋_GB2312" w:cs="仿宋_GB2312"/>
                <w:i w:val="0"/>
                <w:iCs w:val="0"/>
                <w:color w:val="000000"/>
                <w:kern w:val="0"/>
                <w:sz w:val="21"/>
                <w:szCs w:val="21"/>
                <w:u w:val="none"/>
                <w:lang w:val="en-US" w:eastAsia="zh-CN" w:bidi="ar"/>
              </w:rPr>
              <w:t>30</w:t>
            </w:r>
          </w:p>
        </w:tc>
        <w:tc>
          <w:tcPr>
            <w:tcW w:w="3555" w:type="dxa"/>
            <w:vAlign w:val="center"/>
          </w:tcPr>
          <w:p w14:paraId="05EE7C06">
            <w:pPr>
              <w:keepNext w:val="0"/>
              <w:keepLines w:val="0"/>
              <w:widowControl/>
              <w:suppressLineNumbers w:val="0"/>
              <w:ind w:firstLine="210" w:firstLineChars="100"/>
              <w:jc w:val="both"/>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3.专项转移支付收入</w:t>
            </w:r>
          </w:p>
        </w:tc>
        <w:tc>
          <w:tcPr>
            <w:tcW w:w="900" w:type="dxa"/>
            <w:vAlign w:val="center"/>
          </w:tcPr>
          <w:p w14:paraId="0D1B957F">
            <w:pPr>
              <w:keepNext w:val="0"/>
              <w:keepLines w:val="0"/>
              <w:widowControl/>
              <w:suppressLineNumbers w:val="0"/>
              <w:jc w:val="both"/>
              <w:textAlignment w:val="center"/>
              <w:rPr>
                <w:rFonts w:hint="default" w:ascii="仿宋_GB2312" w:hAnsi="仿宋" w:eastAsia="仿宋_GB2312" w:cs="仿宋"/>
                <w:bCs/>
                <w:szCs w:val="21"/>
                <w:lang w:val="en-US"/>
              </w:rPr>
            </w:pPr>
            <w:r>
              <w:rPr>
                <w:rFonts w:hint="eastAsia" w:ascii="仿宋_GB2312" w:hAnsi="宋体" w:eastAsia="仿宋_GB2312" w:cs="仿宋_GB2312"/>
                <w:i w:val="0"/>
                <w:iCs w:val="0"/>
                <w:color w:val="000000"/>
                <w:kern w:val="0"/>
                <w:sz w:val="21"/>
                <w:szCs w:val="21"/>
                <w:u w:val="none"/>
                <w:lang w:val="en-US" w:eastAsia="zh-CN" w:bidi="ar"/>
              </w:rPr>
              <w:t>53936</w:t>
            </w:r>
          </w:p>
        </w:tc>
        <w:tc>
          <w:tcPr>
            <w:tcW w:w="2890" w:type="dxa"/>
            <w:vAlign w:val="center"/>
          </w:tcPr>
          <w:p w14:paraId="56947B8F">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地方政府一般债券还本支出</w:t>
            </w:r>
          </w:p>
        </w:tc>
        <w:tc>
          <w:tcPr>
            <w:tcW w:w="899" w:type="dxa"/>
            <w:vAlign w:val="center"/>
          </w:tcPr>
          <w:p w14:paraId="201D7203">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4789</w:t>
            </w:r>
          </w:p>
        </w:tc>
      </w:tr>
      <w:tr w14:paraId="33D9A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Align w:val="center"/>
          </w:tcPr>
          <w:p w14:paraId="68ECBCC0">
            <w:pPr>
              <w:keepNext w:val="0"/>
              <w:keepLines w:val="0"/>
              <w:widowControl/>
              <w:suppressLineNumbers w:val="0"/>
              <w:jc w:val="center"/>
              <w:textAlignment w:val="center"/>
              <w:rPr>
                <w:rFonts w:ascii="仿宋_GB2312" w:hAnsi="仿宋" w:eastAsia="仿宋_GB2312" w:cs="仿宋"/>
                <w:szCs w:val="21"/>
              </w:rPr>
            </w:pPr>
            <w:r>
              <w:rPr>
                <w:rFonts w:hint="eastAsia" w:ascii="仿宋_GB2312" w:hAnsi="宋体" w:eastAsia="仿宋_GB2312" w:cs="仿宋_GB2312"/>
                <w:i w:val="0"/>
                <w:iCs w:val="0"/>
                <w:color w:val="000000"/>
                <w:kern w:val="0"/>
                <w:sz w:val="21"/>
                <w:szCs w:val="21"/>
                <w:u w:val="none"/>
                <w:lang w:val="en-US" w:eastAsia="zh-CN" w:bidi="ar"/>
              </w:rPr>
              <w:t>31</w:t>
            </w:r>
          </w:p>
        </w:tc>
        <w:tc>
          <w:tcPr>
            <w:tcW w:w="3555" w:type="dxa"/>
            <w:vAlign w:val="center"/>
          </w:tcPr>
          <w:p w14:paraId="1FCE1718">
            <w:pPr>
              <w:keepNext w:val="0"/>
              <w:keepLines w:val="0"/>
              <w:widowControl/>
              <w:suppressLineNumbers w:val="0"/>
              <w:jc w:val="left"/>
              <w:textAlignment w:val="center"/>
              <w:rPr>
                <w:rFonts w:ascii="仿宋_GB2312"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调入资金</w:t>
            </w:r>
          </w:p>
        </w:tc>
        <w:tc>
          <w:tcPr>
            <w:tcW w:w="900" w:type="dxa"/>
            <w:vAlign w:val="center"/>
          </w:tcPr>
          <w:p w14:paraId="18D5F258">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28100</w:t>
            </w:r>
          </w:p>
        </w:tc>
        <w:tc>
          <w:tcPr>
            <w:tcW w:w="2890" w:type="dxa"/>
            <w:vAlign w:val="center"/>
          </w:tcPr>
          <w:p w14:paraId="76FFCE2E">
            <w:pPr>
              <w:jc w:val="left"/>
              <w:rPr>
                <w:rFonts w:ascii="仿宋_GB2312" w:hAnsi="仿宋" w:eastAsia="仿宋_GB2312" w:cs="仿宋"/>
                <w:bCs/>
                <w:szCs w:val="21"/>
              </w:rPr>
            </w:pPr>
          </w:p>
        </w:tc>
        <w:tc>
          <w:tcPr>
            <w:tcW w:w="899" w:type="dxa"/>
            <w:vAlign w:val="center"/>
          </w:tcPr>
          <w:p w14:paraId="1B6BAF70">
            <w:pPr>
              <w:jc w:val="left"/>
              <w:rPr>
                <w:rFonts w:ascii="仿宋_GB2312" w:hAnsi="仿宋" w:eastAsia="仿宋_GB2312" w:cs="仿宋"/>
                <w:szCs w:val="21"/>
              </w:rPr>
            </w:pPr>
          </w:p>
        </w:tc>
      </w:tr>
      <w:tr w14:paraId="18606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Align w:val="center"/>
          </w:tcPr>
          <w:p w14:paraId="0E8B920E">
            <w:pPr>
              <w:keepNext w:val="0"/>
              <w:keepLines w:val="0"/>
              <w:widowControl/>
              <w:suppressLineNumbers w:val="0"/>
              <w:jc w:val="center"/>
              <w:textAlignment w:val="center"/>
              <w:rPr>
                <w:rFonts w:ascii="仿宋_GB2312" w:hAnsi="仿宋" w:eastAsia="仿宋_GB2312" w:cs="仿宋"/>
                <w:szCs w:val="21"/>
              </w:rPr>
            </w:pPr>
            <w:r>
              <w:rPr>
                <w:rFonts w:hint="eastAsia" w:ascii="仿宋_GB2312" w:hAnsi="宋体" w:eastAsia="仿宋_GB2312" w:cs="仿宋_GB2312"/>
                <w:i w:val="0"/>
                <w:iCs w:val="0"/>
                <w:color w:val="000000"/>
                <w:kern w:val="0"/>
                <w:sz w:val="21"/>
                <w:szCs w:val="21"/>
                <w:u w:val="none"/>
                <w:lang w:val="en-US" w:eastAsia="zh-CN" w:bidi="ar"/>
              </w:rPr>
              <w:t>32</w:t>
            </w:r>
          </w:p>
        </w:tc>
        <w:tc>
          <w:tcPr>
            <w:tcW w:w="3555" w:type="dxa"/>
            <w:vAlign w:val="center"/>
          </w:tcPr>
          <w:p w14:paraId="4831D569">
            <w:pPr>
              <w:keepNext w:val="0"/>
              <w:keepLines w:val="0"/>
              <w:widowControl/>
              <w:suppressLineNumbers w:val="0"/>
              <w:ind w:firstLine="210" w:firstLineChars="10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从政府性基金预算调入</w:t>
            </w:r>
          </w:p>
        </w:tc>
        <w:tc>
          <w:tcPr>
            <w:tcW w:w="900" w:type="dxa"/>
            <w:vAlign w:val="center"/>
          </w:tcPr>
          <w:p w14:paraId="7B49E103">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16100</w:t>
            </w:r>
          </w:p>
        </w:tc>
        <w:tc>
          <w:tcPr>
            <w:tcW w:w="2890" w:type="dxa"/>
            <w:vAlign w:val="center"/>
          </w:tcPr>
          <w:p w14:paraId="5567CFA3">
            <w:pPr>
              <w:jc w:val="left"/>
              <w:rPr>
                <w:rFonts w:ascii="仿宋_GB2312" w:hAnsi="仿宋" w:eastAsia="仿宋_GB2312" w:cs="仿宋"/>
                <w:bCs/>
                <w:szCs w:val="21"/>
              </w:rPr>
            </w:pPr>
          </w:p>
        </w:tc>
        <w:tc>
          <w:tcPr>
            <w:tcW w:w="899" w:type="dxa"/>
            <w:vAlign w:val="center"/>
          </w:tcPr>
          <w:p w14:paraId="0E918E3F">
            <w:pPr>
              <w:jc w:val="left"/>
              <w:rPr>
                <w:rFonts w:ascii="仿宋_GB2312" w:hAnsi="仿宋" w:eastAsia="仿宋_GB2312" w:cs="仿宋"/>
                <w:szCs w:val="21"/>
              </w:rPr>
            </w:pPr>
          </w:p>
        </w:tc>
      </w:tr>
      <w:tr w14:paraId="68299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Align w:val="center"/>
          </w:tcPr>
          <w:p w14:paraId="0DB97ADE">
            <w:pPr>
              <w:keepNext w:val="0"/>
              <w:keepLines w:val="0"/>
              <w:widowControl/>
              <w:suppressLineNumbers w:val="0"/>
              <w:jc w:val="center"/>
              <w:textAlignment w:val="center"/>
              <w:rPr>
                <w:rFonts w:ascii="仿宋_GB2312" w:hAnsi="仿宋" w:eastAsia="仿宋_GB2312" w:cs="仿宋"/>
                <w:szCs w:val="21"/>
              </w:rPr>
            </w:pPr>
            <w:r>
              <w:rPr>
                <w:rFonts w:hint="eastAsia" w:ascii="仿宋_GB2312" w:hAnsi="宋体" w:eastAsia="仿宋_GB2312" w:cs="仿宋_GB2312"/>
                <w:i w:val="0"/>
                <w:iCs w:val="0"/>
                <w:color w:val="000000"/>
                <w:kern w:val="0"/>
                <w:sz w:val="21"/>
                <w:szCs w:val="21"/>
                <w:u w:val="none"/>
                <w:lang w:val="en-US" w:eastAsia="zh-CN" w:bidi="ar"/>
              </w:rPr>
              <w:t>33</w:t>
            </w:r>
          </w:p>
        </w:tc>
        <w:tc>
          <w:tcPr>
            <w:tcW w:w="3555" w:type="dxa"/>
            <w:vAlign w:val="center"/>
          </w:tcPr>
          <w:p w14:paraId="4D07CD61">
            <w:pPr>
              <w:keepNext w:val="0"/>
              <w:keepLines w:val="0"/>
              <w:widowControl/>
              <w:suppressLineNumbers w:val="0"/>
              <w:ind w:firstLine="210" w:firstLineChars="10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从国有资本经营收入调入</w:t>
            </w:r>
          </w:p>
        </w:tc>
        <w:tc>
          <w:tcPr>
            <w:tcW w:w="900" w:type="dxa"/>
            <w:vAlign w:val="center"/>
          </w:tcPr>
          <w:p w14:paraId="21FF38A0">
            <w:pPr>
              <w:keepNext w:val="0"/>
              <w:keepLines w:val="0"/>
              <w:widowControl/>
              <w:suppressLineNumbers w:val="0"/>
              <w:jc w:val="left"/>
              <w:textAlignment w:val="center"/>
              <w:rPr>
                <w:rFonts w:ascii="仿宋_GB2312" w:hAnsi="仿宋" w:eastAsia="仿宋_GB2312" w:cs="仿宋"/>
                <w:bCs/>
                <w:szCs w:val="21"/>
              </w:rPr>
            </w:pPr>
            <w:r>
              <w:rPr>
                <w:rFonts w:hint="eastAsia" w:ascii="仿宋_GB2312" w:hAnsi="宋体" w:eastAsia="仿宋_GB2312" w:cs="仿宋_GB2312"/>
                <w:i w:val="0"/>
                <w:iCs w:val="0"/>
                <w:color w:val="000000"/>
                <w:kern w:val="0"/>
                <w:sz w:val="21"/>
                <w:szCs w:val="21"/>
                <w:u w:val="none"/>
                <w:lang w:val="en-US" w:eastAsia="zh-CN" w:bidi="ar"/>
              </w:rPr>
              <w:t>12000</w:t>
            </w:r>
          </w:p>
        </w:tc>
        <w:tc>
          <w:tcPr>
            <w:tcW w:w="2890" w:type="dxa"/>
            <w:vAlign w:val="center"/>
          </w:tcPr>
          <w:p w14:paraId="680AE0EE">
            <w:pPr>
              <w:jc w:val="left"/>
              <w:rPr>
                <w:rFonts w:ascii="仿宋_GB2312" w:hAnsi="仿宋" w:eastAsia="仿宋_GB2312" w:cs="仿宋"/>
                <w:bCs/>
                <w:szCs w:val="21"/>
              </w:rPr>
            </w:pPr>
          </w:p>
        </w:tc>
        <w:tc>
          <w:tcPr>
            <w:tcW w:w="899" w:type="dxa"/>
            <w:vAlign w:val="center"/>
          </w:tcPr>
          <w:p w14:paraId="45191BFD">
            <w:pPr>
              <w:jc w:val="left"/>
              <w:rPr>
                <w:rFonts w:ascii="仿宋_GB2312" w:hAnsi="仿宋" w:eastAsia="仿宋_GB2312" w:cs="仿宋"/>
                <w:szCs w:val="21"/>
              </w:rPr>
            </w:pPr>
          </w:p>
        </w:tc>
      </w:tr>
      <w:tr w14:paraId="7F48F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Align w:val="center"/>
          </w:tcPr>
          <w:p w14:paraId="6E107B70">
            <w:pPr>
              <w:keepNext w:val="0"/>
              <w:keepLines w:val="0"/>
              <w:widowControl/>
              <w:suppressLineNumbers w:val="0"/>
              <w:jc w:val="center"/>
              <w:textAlignment w:val="center"/>
              <w:rPr>
                <w:rFonts w:ascii="仿宋_GB2312" w:hAnsi="仿宋" w:eastAsia="仿宋_GB2312" w:cs="仿宋"/>
                <w:szCs w:val="21"/>
              </w:rPr>
            </w:pPr>
            <w:r>
              <w:rPr>
                <w:rFonts w:hint="eastAsia" w:ascii="仿宋_GB2312" w:hAnsi="宋体" w:eastAsia="仿宋_GB2312" w:cs="仿宋_GB2312"/>
                <w:i w:val="0"/>
                <w:iCs w:val="0"/>
                <w:color w:val="000000"/>
                <w:kern w:val="0"/>
                <w:sz w:val="21"/>
                <w:szCs w:val="21"/>
                <w:u w:val="none"/>
                <w:lang w:val="en-US" w:eastAsia="zh-CN" w:bidi="ar"/>
              </w:rPr>
              <w:t>34</w:t>
            </w:r>
          </w:p>
        </w:tc>
        <w:tc>
          <w:tcPr>
            <w:tcW w:w="3555" w:type="dxa"/>
            <w:vAlign w:val="center"/>
          </w:tcPr>
          <w:p w14:paraId="67148BFD">
            <w:pPr>
              <w:keepNext w:val="0"/>
              <w:keepLines w:val="0"/>
              <w:widowControl/>
              <w:suppressLineNumbers w:val="0"/>
              <w:jc w:val="left"/>
              <w:textAlignment w:val="center"/>
              <w:rPr>
                <w:rFonts w:ascii="仿宋_GB2312" w:hAnsi="仿宋" w:eastAsia="仿宋_GB2312" w:cs="仿宋"/>
                <w:szCs w:val="21"/>
              </w:rPr>
            </w:pPr>
            <w:r>
              <w:rPr>
                <w:rFonts w:hint="eastAsia" w:ascii="仿宋_GB2312" w:hAnsi="宋体" w:eastAsia="仿宋_GB2312" w:cs="仿宋_GB2312"/>
                <w:i w:val="0"/>
                <w:iCs w:val="0"/>
                <w:color w:val="000000"/>
                <w:kern w:val="0"/>
                <w:sz w:val="21"/>
                <w:szCs w:val="21"/>
                <w:u w:val="none"/>
                <w:lang w:val="en-US" w:eastAsia="zh-CN" w:bidi="ar"/>
              </w:rPr>
              <w:t>动用预算稳定调节基金</w:t>
            </w:r>
          </w:p>
        </w:tc>
        <w:tc>
          <w:tcPr>
            <w:tcW w:w="900" w:type="dxa"/>
            <w:vAlign w:val="center"/>
          </w:tcPr>
          <w:p w14:paraId="098A4B54">
            <w:pPr>
              <w:keepNext w:val="0"/>
              <w:keepLines w:val="0"/>
              <w:widowControl/>
              <w:suppressLineNumbers w:val="0"/>
              <w:jc w:val="left"/>
              <w:textAlignment w:val="center"/>
              <w:rPr>
                <w:rFonts w:ascii="仿宋_GB2312" w:hAnsi="仿宋" w:eastAsia="仿宋_GB2312" w:cs="仿宋"/>
                <w:szCs w:val="21"/>
              </w:rPr>
            </w:pPr>
            <w:r>
              <w:rPr>
                <w:rFonts w:hint="eastAsia" w:ascii="仿宋_GB2312" w:hAnsi="宋体" w:eastAsia="仿宋_GB2312" w:cs="仿宋_GB2312"/>
                <w:i w:val="0"/>
                <w:iCs w:val="0"/>
                <w:color w:val="000000"/>
                <w:kern w:val="0"/>
                <w:sz w:val="21"/>
                <w:szCs w:val="21"/>
                <w:u w:val="none"/>
                <w:lang w:val="en-US" w:eastAsia="zh-CN" w:bidi="ar"/>
              </w:rPr>
              <w:t>2000</w:t>
            </w:r>
          </w:p>
        </w:tc>
        <w:tc>
          <w:tcPr>
            <w:tcW w:w="2890" w:type="dxa"/>
            <w:vAlign w:val="center"/>
          </w:tcPr>
          <w:p w14:paraId="332E968A">
            <w:pPr>
              <w:jc w:val="center"/>
              <w:rPr>
                <w:rFonts w:ascii="仿宋_GB2312" w:hAnsi="仿宋" w:eastAsia="仿宋_GB2312" w:cs="仿宋"/>
                <w:b/>
                <w:szCs w:val="21"/>
              </w:rPr>
            </w:pPr>
          </w:p>
        </w:tc>
        <w:tc>
          <w:tcPr>
            <w:tcW w:w="899" w:type="dxa"/>
            <w:vAlign w:val="center"/>
          </w:tcPr>
          <w:p w14:paraId="083392A8">
            <w:pPr>
              <w:jc w:val="left"/>
              <w:rPr>
                <w:rFonts w:ascii="仿宋_GB2312" w:hAnsi="仿宋" w:eastAsia="仿宋_GB2312" w:cs="仿宋"/>
                <w:b/>
                <w:szCs w:val="21"/>
              </w:rPr>
            </w:pPr>
          </w:p>
        </w:tc>
      </w:tr>
      <w:tr w14:paraId="5EE90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5" w:type="dxa"/>
            <w:vAlign w:val="center"/>
          </w:tcPr>
          <w:p w14:paraId="1F02F8AF">
            <w:pPr>
              <w:keepNext w:val="0"/>
              <w:keepLines w:val="0"/>
              <w:widowControl/>
              <w:suppressLineNumbers w:val="0"/>
              <w:jc w:val="center"/>
              <w:textAlignment w:val="center"/>
              <w:rPr>
                <w:rFonts w:ascii="仿宋_GB2312" w:hAnsi="仿宋" w:eastAsia="仿宋_GB2312" w:cs="仿宋"/>
                <w:szCs w:val="21"/>
              </w:rPr>
            </w:pPr>
            <w:r>
              <w:rPr>
                <w:rFonts w:hint="eastAsia" w:ascii="仿宋_GB2312" w:hAnsi="宋体" w:eastAsia="仿宋_GB2312" w:cs="仿宋_GB2312"/>
                <w:i w:val="0"/>
                <w:iCs w:val="0"/>
                <w:color w:val="000000"/>
                <w:kern w:val="0"/>
                <w:sz w:val="21"/>
                <w:szCs w:val="21"/>
                <w:u w:val="none"/>
                <w:lang w:val="en-US" w:eastAsia="zh-CN" w:bidi="ar"/>
              </w:rPr>
              <w:t>35</w:t>
            </w:r>
          </w:p>
        </w:tc>
        <w:tc>
          <w:tcPr>
            <w:tcW w:w="3555" w:type="dxa"/>
            <w:vAlign w:val="center"/>
          </w:tcPr>
          <w:p w14:paraId="3A453759">
            <w:pPr>
              <w:keepNext w:val="0"/>
              <w:keepLines w:val="0"/>
              <w:widowControl/>
              <w:suppressLineNumbers w:val="0"/>
              <w:jc w:val="center"/>
              <w:textAlignment w:val="center"/>
              <w:rPr>
                <w:rFonts w:ascii="仿宋_GB2312" w:hAnsi="仿宋" w:eastAsia="仿宋_GB2312" w:cs="仿宋"/>
                <w:bCs/>
                <w:szCs w:val="21"/>
              </w:rPr>
            </w:pPr>
            <w:r>
              <w:rPr>
                <w:rFonts w:hint="eastAsia" w:ascii="仿宋_GB2312" w:hAnsi="宋体" w:eastAsia="仿宋_GB2312" w:cs="仿宋_GB2312"/>
                <w:b/>
                <w:bCs/>
                <w:i w:val="0"/>
                <w:iCs w:val="0"/>
                <w:color w:val="000000"/>
                <w:kern w:val="0"/>
                <w:sz w:val="21"/>
                <w:szCs w:val="21"/>
                <w:u w:val="none"/>
                <w:lang w:val="en-US" w:eastAsia="zh-CN" w:bidi="ar"/>
              </w:rPr>
              <w:t>收入总计</w:t>
            </w:r>
          </w:p>
        </w:tc>
        <w:tc>
          <w:tcPr>
            <w:tcW w:w="900" w:type="dxa"/>
            <w:vAlign w:val="center"/>
          </w:tcPr>
          <w:p w14:paraId="18E3D6B7">
            <w:pPr>
              <w:keepNext w:val="0"/>
              <w:keepLines w:val="0"/>
              <w:widowControl/>
              <w:suppressLineNumbers w:val="0"/>
              <w:jc w:val="left"/>
              <w:textAlignment w:val="center"/>
              <w:rPr>
                <w:rFonts w:hint="default" w:ascii="仿宋_GB2312" w:hAnsi="仿宋" w:eastAsia="仿宋_GB2312" w:cs="仿宋"/>
                <w:bCs/>
                <w:szCs w:val="21"/>
                <w:lang w:val="en-US"/>
              </w:rPr>
            </w:pPr>
            <w:r>
              <w:rPr>
                <w:rFonts w:hint="eastAsia" w:ascii="仿宋_GB2312" w:hAnsi="宋体" w:eastAsia="仿宋_GB2312" w:cs="仿宋_GB2312"/>
                <w:b/>
                <w:bCs/>
                <w:i w:val="0"/>
                <w:iCs w:val="0"/>
                <w:color w:val="000000"/>
                <w:kern w:val="0"/>
                <w:sz w:val="21"/>
                <w:szCs w:val="21"/>
                <w:u w:val="none"/>
                <w:lang w:val="en-US" w:eastAsia="zh-CN" w:bidi="ar"/>
              </w:rPr>
              <w:t>373592</w:t>
            </w:r>
          </w:p>
        </w:tc>
        <w:tc>
          <w:tcPr>
            <w:tcW w:w="2890" w:type="dxa"/>
            <w:vAlign w:val="center"/>
          </w:tcPr>
          <w:p w14:paraId="66B0AEBA">
            <w:pPr>
              <w:keepNext w:val="0"/>
              <w:keepLines w:val="0"/>
              <w:widowControl/>
              <w:suppressLineNumbers w:val="0"/>
              <w:jc w:val="center"/>
              <w:textAlignment w:val="center"/>
              <w:rPr>
                <w:rFonts w:ascii="仿宋_GB2312" w:hAnsi="仿宋" w:eastAsia="仿宋_GB2312" w:cs="仿宋"/>
                <w:b/>
                <w:bCs/>
                <w:szCs w:val="21"/>
              </w:rPr>
            </w:pPr>
            <w:r>
              <w:rPr>
                <w:rFonts w:hint="eastAsia" w:ascii="仿宋_GB2312" w:hAnsi="宋体" w:eastAsia="仿宋_GB2312" w:cs="仿宋_GB2312"/>
                <w:b/>
                <w:bCs/>
                <w:i w:val="0"/>
                <w:iCs w:val="0"/>
                <w:color w:val="000000"/>
                <w:kern w:val="0"/>
                <w:sz w:val="21"/>
                <w:szCs w:val="21"/>
                <w:u w:val="none"/>
                <w:lang w:val="en-US" w:eastAsia="zh-CN" w:bidi="ar"/>
              </w:rPr>
              <w:t>支出总计</w:t>
            </w:r>
          </w:p>
        </w:tc>
        <w:tc>
          <w:tcPr>
            <w:tcW w:w="899" w:type="dxa"/>
            <w:vAlign w:val="center"/>
          </w:tcPr>
          <w:p w14:paraId="20CB18E5">
            <w:pPr>
              <w:keepNext w:val="0"/>
              <w:keepLines w:val="0"/>
              <w:widowControl/>
              <w:suppressLineNumbers w:val="0"/>
              <w:jc w:val="left"/>
              <w:textAlignment w:val="center"/>
              <w:rPr>
                <w:rFonts w:hint="default" w:ascii="仿宋_GB2312" w:hAnsi="仿宋" w:eastAsia="仿宋_GB2312" w:cs="仿宋"/>
                <w:b/>
                <w:bCs/>
                <w:szCs w:val="21"/>
                <w:lang w:val="en-US"/>
              </w:rPr>
            </w:pPr>
            <w:r>
              <w:rPr>
                <w:rFonts w:hint="eastAsia" w:ascii="仿宋_GB2312" w:hAnsi="宋体" w:eastAsia="仿宋_GB2312" w:cs="仿宋_GB2312"/>
                <w:b/>
                <w:bCs/>
                <w:i w:val="0"/>
                <w:iCs w:val="0"/>
                <w:color w:val="000000"/>
                <w:kern w:val="0"/>
                <w:sz w:val="21"/>
                <w:szCs w:val="21"/>
                <w:u w:val="none"/>
                <w:lang w:val="en-US" w:eastAsia="zh-CN" w:bidi="ar"/>
              </w:rPr>
              <w:t>373592</w:t>
            </w:r>
          </w:p>
        </w:tc>
      </w:tr>
    </w:tbl>
    <w:p w14:paraId="1887979B">
      <w:pPr>
        <w:pStyle w:val="2"/>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sz w:val="22"/>
          <w:szCs w:val="22"/>
          <w:lang w:val="en-US" w:eastAsia="zh-CN"/>
        </w:rPr>
      </w:pPr>
      <w:r>
        <w:rPr>
          <w:rFonts w:hint="eastAsia" w:ascii="黑体" w:hAnsi="黑体" w:eastAsia="黑体" w:cs="黑体"/>
          <w:b w:val="0"/>
          <w:bCs/>
          <w:snapToGrid w:val="0"/>
          <w:w w:val="100"/>
          <w:kern w:val="0"/>
          <w:sz w:val="40"/>
          <w:szCs w:val="40"/>
          <w:lang w:val="en-US" w:eastAsia="zh-CN" w:bidi="ar-SA"/>
        </w:rPr>
        <w:t xml:space="preserve">                          </w:t>
      </w:r>
    </w:p>
    <w:p w14:paraId="4072B24D">
      <w:pPr>
        <w:keepNext w:val="0"/>
        <w:keepLines w:val="0"/>
        <w:pageBreakBefore w:val="0"/>
        <w:widowControl w:val="0"/>
        <w:kinsoku/>
        <w:wordWrap/>
        <w:overflowPunct/>
        <w:topLinePunct w:val="0"/>
        <w:autoSpaceDE/>
        <w:autoSpaceDN/>
        <w:bidi w:val="0"/>
        <w:adjustRightInd w:val="0"/>
        <w:snapToGrid w:val="0"/>
        <w:spacing w:line="520" w:lineRule="exact"/>
        <w:textAlignment w:val="auto"/>
        <w:rPr>
          <w:rFonts w:hint="eastAsia" w:ascii="方正大标宋简体" w:hAnsi="宋体" w:eastAsia="仿宋_GB2312" w:cs="宋体"/>
          <w:bCs/>
          <w:sz w:val="32"/>
          <w:szCs w:val="32"/>
          <w:lang w:eastAsia="zh-CN"/>
        </w:rPr>
      </w:pPr>
      <w:r>
        <w:rPr>
          <w:rFonts w:hint="eastAsia" w:ascii="仿宋_GB2312" w:hAnsi="仿宋" w:eastAsia="仿宋_GB2312" w:cs="仿宋"/>
          <w:sz w:val="32"/>
          <w:szCs w:val="32"/>
        </w:rPr>
        <w:t>附表</w:t>
      </w:r>
      <w:r>
        <w:rPr>
          <w:rFonts w:hint="eastAsia" w:ascii="仿宋_GB2312" w:hAnsi="仿宋" w:eastAsia="仿宋_GB2312" w:cs="仿宋"/>
          <w:sz w:val="32"/>
          <w:szCs w:val="32"/>
          <w:lang w:eastAsia="zh-CN"/>
        </w:rPr>
        <w:t>八</w:t>
      </w:r>
    </w:p>
    <w:p w14:paraId="1B436E1F">
      <w:pPr>
        <w:keepNext w:val="0"/>
        <w:keepLines w:val="0"/>
        <w:pageBreakBefore w:val="0"/>
        <w:widowControl w:val="0"/>
        <w:kinsoku/>
        <w:wordWrap/>
        <w:overflowPunct/>
        <w:topLinePunct w:val="0"/>
        <w:autoSpaceDE/>
        <w:autoSpaceDN/>
        <w:bidi w:val="0"/>
        <w:adjustRightInd w:val="0"/>
        <w:snapToGrid w:val="0"/>
        <w:spacing w:line="660" w:lineRule="exact"/>
        <w:jc w:val="center"/>
        <w:textAlignment w:val="auto"/>
        <w:rPr>
          <w:rFonts w:hint="eastAsia" w:ascii="仿宋" w:hAnsi="仿宋" w:eastAsia="仿宋" w:cs="仿宋"/>
          <w:sz w:val="44"/>
          <w:szCs w:val="44"/>
        </w:rPr>
      </w:pPr>
      <w:r>
        <w:rPr>
          <w:rFonts w:hint="eastAsia" w:ascii="黑体" w:hAnsi="黑体" w:eastAsia="黑体" w:cs="黑体"/>
          <w:bCs/>
          <w:sz w:val="40"/>
          <w:szCs w:val="40"/>
        </w:rPr>
        <w:t>西峡县202</w:t>
      </w:r>
      <w:r>
        <w:rPr>
          <w:rFonts w:hint="eastAsia" w:ascii="黑体" w:hAnsi="黑体" w:eastAsia="黑体" w:cs="黑体"/>
          <w:bCs/>
          <w:sz w:val="40"/>
          <w:szCs w:val="40"/>
          <w:lang w:val="en-US" w:eastAsia="zh-CN"/>
        </w:rPr>
        <w:t>6</w:t>
      </w:r>
      <w:r>
        <w:rPr>
          <w:rFonts w:hint="eastAsia" w:ascii="黑体" w:hAnsi="黑体" w:eastAsia="黑体" w:cs="黑体"/>
          <w:bCs/>
          <w:sz w:val="40"/>
          <w:szCs w:val="40"/>
        </w:rPr>
        <w:t>年政府性基金收支预算总表</w:t>
      </w:r>
    </w:p>
    <w:p w14:paraId="6CC70045">
      <w:pPr>
        <w:keepNext w:val="0"/>
        <w:keepLines w:val="0"/>
        <w:pageBreakBefore w:val="0"/>
        <w:widowControl w:val="0"/>
        <w:kinsoku/>
        <w:wordWrap/>
        <w:overflowPunct/>
        <w:topLinePunct w:val="0"/>
        <w:autoSpaceDE/>
        <w:autoSpaceDN/>
        <w:bidi w:val="0"/>
        <w:adjustRightInd w:val="0"/>
        <w:snapToGrid w:val="0"/>
        <w:spacing w:line="660" w:lineRule="exact"/>
        <w:ind w:firstLine="7040" w:firstLineChars="2200"/>
        <w:textAlignment w:val="auto"/>
        <w:rPr>
          <w:rFonts w:ascii="仿宋_GB2312" w:hAnsi="仿宋" w:eastAsia="仿宋_GB2312" w:cs="仿宋"/>
          <w:sz w:val="32"/>
          <w:szCs w:val="32"/>
        </w:rPr>
      </w:pPr>
      <w:r>
        <w:rPr>
          <w:rFonts w:hint="eastAsia" w:ascii="仿宋_GB2312" w:hAnsi="仿宋" w:eastAsia="仿宋_GB2312" w:cs="仿宋"/>
          <w:sz w:val="32"/>
          <w:szCs w:val="32"/>
        </w:rPr>
        <w:t>单位</w:t>
      </w:r>
      <w:r>
        <w:rPr>
          <w:rFonts w:ascii="仿宋_GB2312" w:hAnsi="仿宋" w:eastAsia="仿宋_GB2312" w:cs="仿宋"/>
          <w:sz w:val="32"/>
          <w:szCs w:val="32"/>
        </w:rPr>
        <w:t>:</w:t>
      </w:r>
      <w:r>
        <w:rPr>
          <w:rFonts w:hint="eastAsia" w:ascii="仿宋_GB2312" w:hAnsi="仿宋" w:eastAsia="仿宋_GB2312" w:cs="仿宋"/>
          <w:sz w:val="32"/>
          <w:szCs w:val="32"/>
        </w:rPr>
        <w:t>万元</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86"/>
        <w:gridCol w:w="1097"/>
        <w:gridCol w:w="3079"/>
        <w:gridCol w:w="1159"/>
      </w:tblGrid>
      <w:tr w14:paraId="751B8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386" w:type="dxa"/>
            <w:vAlign w:val="center"/>
          </w:tcPr>
          <w:p w14:paraId="61C2B74B">
            <w:pPr>
              <w:keepNext w:val="0"/>
              <w:keepLines w:val="0"/>
              <w:widowControl/>
              <w:suppressLineNumbers w:val="0"/>
              <w:jc w:val="center"/>
              <w:textAlignment w:val="center"/>
              <w:rPr>
                <w:rFonts w:ascii="黑体" w:hAnsi="仿宋" w:eastAsia="黑体" w:cs="仿宋"/>
                <w:bCs/>
                <w:sz w:val="28"/>
                <w:szCs w:val="28"/>
              </w:rPr>
            </w:pPr>
            <w:r>
              <w:rPr>
                <w:rFonts w:hint="eastAsia" w:ascii="黑体" w:hAnsi="宋体" w:eastAsia="黑体" w:cs="黑体"/>
                <w:i w:val="0"/>
                <w:iCs w:val="0"/>
                <w:color w:val="000000"/>
                <w:kern w:val="0"/>
                <w:sz w:val="28"/>
                <w:szCs w:val="28"/>
                <w:u w:val="none"/>
                <w:lang w:val="en-US" w:eastAsia="zh-CN" w:bidi="ar"/>
              </w:rPr>
              <w:t>预算科目</w:t>
            </w:r>
          </w:p>
        </w:tc>
        <w:tc>
          <w:tcPr>
            <w:tcW w:w="1097" w:type="dxa"/>
            <w:vAlign w:val="center"/>
          </w:tcPr>
          <w:p w14:paraId="4992E8AE">
            <w:pPr>
              <w:keepNext w:val="0"/>
              <w:keepLines w:val="0"/>
              <w:widowControl/>
              <w:suppressLineNumbers w:val="0"/>
              <w:jc w:val="center"/>
              <w:textAlignment w:val="center"/>
              <w:rPr>
                <w:rFonts w:ascii="黑体" w:hAnsi="仿宋" w:eastAsia="黑体" w:cs="仿宋"/>
                <w:bCs/>
                <w:sz w:val="28"/>
                <w:szCs w:val="28"/>
              </w:rPr>
            </w:pPr>
            <w:r>
              <w:rPr>
                <w:rFonts w:hint="eastAsia" w:ascii="黑体" w:hAnsi="宋体" w:eastAsia="黑体" w:cs="黑体"/>
                <w:i w:val="0"/>
                <w:iCs w:val="0"/>
                <w:color w:val="000000"/>
                <w:kern w:val="0"/>
                <w:sz w:val="28"/>
                <w:szCs w:val="28"/>
                <w:u w:val="none"/>
                <w:lang w:val="en-US" w:eastAsia="zh-CN" w:bidi="ar"/>
              </w:rPr>
              <w:t>预算数</w:t>
            </w:r>
          </w:p>
        </w:tc>
        <w:tc>
          <w:tcPr>
            <w:tcW w:w="3079" w:type="dxa"/>
            <w:vAlign w:val="center"/>
          </w:tcPr>
          <w:p w14:paraId="668433B8">
            <w:pPr>
              <w:keepNext w:val="0"/>
              <w:keepLines w:val="0"/>
              <w:widowControl/>
              <w:suppressLineNumbers w:val="0"/>
              <w:jc w:val="center"/>
              <w:textAlignment w:val="center"/>
              <w:rPr>
                <w:rFonts w:ascii="黑体" w:hAnsi="仿宋" w:eastAsia="黑体" w:cs="仿宋"/>
                <w:bCs/>
                <w:sz w:val="28"/>
                <w:szCs w:val="28"/>
              </w:rPr>
            </w:pPr>
            <w:r>
              <w:rPr>
                <w:rFonts w:hint="eastAsia" w:ascii="黑体" w:hAnsi="宋体" w:eastAsia="黑体" w:cs="黑体"/>
                <w:i w:val="0"/>
                <w:iCs w:val="0"/>
                <w:color w:val="000000"/>
                <w:kern w:val="0"/>
                <w:sz w:val="28"/>
                <w:szCs w:val="28"/>
                <w:u w:val="none"/>
                <w:lang w:val="en-US" w:eastAsia="zh-CN" w:bidi="ar"/>
              </w:rPr>
              <w:t>预算科目</w:t>
            </w:r>
          </w:p>
        </w:tc>
        <w:tc>
          <w:tcPr>
            <w:tcW w:w="1159" w:type="dxa"/>
            <w:vAlign w:val="center"/>
          </w:tcPr>
          <w:p w14:paraId="69893467">
            <w:pPr>
              <w:keepNext w:val="0"/>
              <w:keepLines w:val="0"/>
              <w:widowControl/>
              <w:suppressLineNumbers w:val="0"/>
              <w:jc w:val="center"/>
              <w:textAlignment w:val="center"/>
              <w:rPr>
                <w:rFonts w:ascii="黑体" w:hAnsi="仿宋" w:eastAsia="黑体" w:cs="仿宋"/>
                <w:bCs/>
                <w:sz w:val="28"/>
                <w:szCs w:val="28"/>
              </w:rPr>
            </w:pPr>
            <w:r>
              <w:rPr>
                <w:rFonts w:hint="eastAsia" w:ascii="黑体" w:hAnsi="宋体" w:eastAsia="黑体" w:cs="黑体"/>
                <w:i w:val="0"/>
                <w:iCs w:val="0"/>
                <w:color w:val="000000"/>
                <w:kern w:val="0"/>
                <w:sz w:val="28"/>
                <w:szCs w:val="28"/>
                <w:u w:val="none"/>
                <w:lang w:val="en-US" w:eastAsia="zh-CN" w:bidi="ar"/>
              </w:rPr>
              <w:t>预算数</w:t>
            </w:r>
          </w:p>
        </w:tc>
      </w:tr>
      <w:tr w14:paraId="484A1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3386" w:type="dxa"/>
            <w:vAlign w:val="center"/>
          </w:tcPr>
          <w:p w14:paraId="6C4BFFF8">
            <w:pPr>
              <w:keepNext w:val="0"/>
              <w:keepLines w:val="0"/>
              <w:widowControl/>
              <w:suppressLineNumbers w:val="0"/>
              <w:jc w:val="left"/>
              <w:textAlignment w:val="center"/>
              <w:rPr>
                <w:rFonts w:ascii="仿宋_GB2312" w:hAnsi="仿宋_GB2312" w:eastAsia="仿宋_GB2312" w:cs="仿宋_GB2312"/>
                <w:bCs/>
                <w:sz w:val="28"/>
                <w:szCs w:val="28"/>
              </w:rPr>
            </w:pPr>
            <w:r>
              <w:rPr>
                <w:rFonts w:hint="eastAsia" w:ascii="仿宋_GB2312" w:hAnsi="宋体" w:eastAsia="仿宋_GB2312" w:cs="仿宋_GB2312"/>
                <w:i w:val="0"/>
                <w:iCs w:val="0"/>
                <w:color w:val="000000"/>
                <w:kern w:val="0"/>
                <w:sz w:val="28"/>
                <w:szCs w:val="28"/>
                <w:u w:val="none"/>
                <w:lang w:val="en-US" w:eastAsia="zh-CN" w:bidi="ar"/>
              </w:rPr>
              <w:t>污水处理费收入</w:t>
            </w:r>
          </w:p>
        </w:tc>
        <w:tc>
          <w:tcPr>
            <w:tcW w:w="1097" w:type="dxa"/>
            <w:vAlign w:val="center"/>
          </w:tcPr>
          <w:p w14:paraId="2356DD9E">
            <w:pPr>
              <w:keepNext w:val="0"/>
              <w:keepLines w:val="0"/>
              <w:widowControl/>
              <w:suppressLineNumbers w:val="0"/>
              <w:jc w:val="left"/>
              <w:textAlignment w:val="center"/>
              <w:rPr>
                <w:rFonts w:ascii="仿宋_GB2312" w:hAnsi="仿宋_GB2312" w:eastAsia="仿宋_GB2312" w:cs="仿宋_GB2312"/>
                <w:bCs/>
                <w:sz w:val="28"/>
                <w:szCs w:val="28"/>
              </w:rPr>
            </w:pPr>
            <w:r>
              <w:rPr>
                <w:rFonts w:hint="eastAsia" w:ascii="仿宋_GB2312" w:hAnsi="宋体" w:eastAsia="仿宋_GB2312" w:cs="仿宋_GB2312"/>
                <w:i w:val="0"/>
                <w:iCs w:val="0"/>
                <w:color w:val="000000"/>
                <w:kern w:val="0"/>
                <w:sz w:val="28"/>
                <w:szCs w:val="28"/>
                <w:u w:val="none"/>
                <w:lang w:val="en-US" w:eastAsia="zh-CN" w:bidi="ar"/>
              </w:rPr>
              <w:t>600</w:t>
            </w:r>
          </w:p>
        </w:tc>
        <w:tc>
          <w:tcPr>
            <w:tcW w:w="3079" w:type="dxa"/>
            <w:vAlign w:val="center"/>
          </w:tcPr>
          <w:p w14:paraId="0732C286">
            <w:pPr>
              <w:keepNext w:val="0"/>
              <w:keepLines w:val="0"/>
              <w:widowControl/>
              <w:suppressLineNumbers w:val="0"/>
              <w:jc w:val="left"/>
              <w:textAlignment w:val="center"/>
              <w:rPr>
                <w:rFonts w:ascii="仿宋_GB2312" w:hAnsi="仿宋_GB2312" w:eastAsia="仿宋_GB2312" w:cs="仿宋_GB2312"/>
                <w:sz w:val="28"/>
                <w:szCs w:val="28"/>
              </w:rPr>
            </w:pPr>
            <w:r>
              <w:rPr>
                <w:rFonts w:hint="eastAsia" w:ascii="仿宋_GB2312" w:hAnsi="宋体" w:eastAsia="仿宋_GB2312" w:cs="仿宋_GB2312"/>
                <w:i w:val="0"/>
                <w:iCs w:val="0"/>
                <w:color w:val="000000"/>
                <w:kern w:val="0"/>
                <w:sz w:val="28"/>
                <w:szCs w:val="28"/>
                <w:u w:val="none"/>
                <w:lang w:val="en-US" w:eastAsia="zh-CN" w:bidi="ar"/>
              </w:rPr>
              <w:t>文化旅游体育与传媒 支出</w:t>
            </w:r>
          </w:p>
        </w:tc>
        <w:tc>
          <w:tcPr>
            <w:tcW w:w="1159" w:type="dxa"/>
            <w:vAlign w:val="center"/>
          </w:tcPr>
          <w:p w14:paraId="0095E275">
            <w:pPr>
              <w:keepNext w:val="0"/>
              <w:keepLines w:val="0"/>
              <w:widowControl/>
              <w:suppressLineNumbers w:val="0"/>
              <w:jc w:val="left"/>
              <w:textAlignment w:val="center"/>
              <w:rPr>
                <w:rFonts w:ascii="仿宋_GB2312" w:hAnsi="仿宋_GB2312" w:eastAsia="仿宋_GB2312" w:cs="仿宋_GB2312"/>
                <w:bCs/>
                <w:sz w:val="28"/>
                <w:szCs w:val="28"/>
              </w:rPr>
            </w:pPr>
            <w:r>
              <w:rPr>
                <w:rFonts w:hint="eastAsia" w:ascii="仿宋_GB2312" w:hAnsi="宋体" w:eastAsia="仿宋_GB2312" w:cs="仿宋_GB2312"/>
                <w:i w:val="0"/>
                <w:iCs w:val="0"/>
                <w:color w:val="000000"/>
                <w:kern w:val="0"/>
                <w:sz w:val="28"/>
                <w:szCs w:val="28"/>
                <w:u w:val="none"/>
                <w:lang w:val="en-US" w:eastAsia="zh-CN" w:bidi="ar"/>
              </w:rPr>
              <w:t>1</w:t>
            </w:r>
          </w:p>
        </w:tc>
      </w:tr>
      <w:tr w14:paraId="62A8B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386" w:type="dxa"/>
            <w:vAlign w:val="center"/>
          </w:tcPr>
          <w:p w14:paraId="2E526AB6">
            <w:pPr>
              <w:keepNext w:val="0"/>
              <w:keepLines w:val="0"/>
              <w:widowControl/>
              <w:suppressLineNumbers w:val="0"/>
              <w:jc w:val="left"/>
              <w:textAlignment w:val="center"/>
              <w:rPr>
                <w:rFonts w:ascii="仿宋_GB2312" w:hAnsi="仿宋_GB2312" w:eastAsia="仿宋_GB2312" w:cs="仿宋_GB2312"/>
                <w:bCs/>
                <w:sz w:val="28"/>
                <w:szCs w:val="28"/>
              </w:rPr>
            </w:pPr>
            <w:r>
              <w:rPr>
                <w:rFonts w:hint="eastAsia" w:ascii="仿宋_GB2312" w:hAnsi="宋体" w:eastAsia="仿宋_GB2312" w:cs="仿宋_GB2312"/>
                <w:i w:val="0"/>
                <w:iCs w:val="0"/>
                <w:color w:val="000000"/>
                <w:kern w:val="0"/>
                <w:sz w:val="28"/>
                <w:szCs w:val="28"/>
                <w:u w:val="none"/>
                <w:lang w:val="en-US" w:eastAsia="zh-CN" w:bidi="ar"/>
              </w:rPr>
              <w:t>国有土地使用权出让收入</w:t>
            </w:r>
          </w:p>
        </w:tc>
        <w:tc>
          <w:tcPr>
            <w:tcW w:w="1097" w:type="dxa"/>
            <w:vAlign w:val="center"/>
          </w:tcPr>
          <w:p w14:paraId="469B316C">
            <w:pPr>
              <w:keepNext w:val="0"/>
              <w:keepLines w:val="0"/>
              <w:widowControl/>
              <w:suppressLineNumbers w:val="0"/>
              <w:jc w:val="left"/>
              <w:textAlignment w:val="center"/>
              <w:rPr>
                <w:rFonts w:ascii="仿宋_GB2312" w:hAnsi="仿宋_GB2312" w:eastAsia="仿宋_GB2312" w:cs="仿宋_GB2312"/>
                <w:bCs/>
                <w:sz w:val="28"/>
                <w:szCs w:val="28"/>
              </w:rPr>
            </w:pPr>
            <w:r>
              <w:rPr>
                <w:rFonts w:hint="eastAsia" w:ascii="仿宋_GB2312" w:hAnsi="宋体" w:eastAsia="仿宋_GB2312" w:cs="仿宋_GB2312"/>
                <w:i w:val="0"/>
                <w:iCs w:val="0"/>
                <w:color w:val="000000"/>
                <w:kern w:val="0"/>
                <w:sz w:val="28"/>
                <w:szCs w:val="28"/>
                <w:u w:val="none"/>
                <w:lang w:val="en-US" w:eastAsia="zh-CN" w:bidi="ar"/>
              </w:rPr>
              <w:t>40850</w:t>
            </w:r>
          </w:p>
        </w:tc>
        <w:tc>
          <w:tcPr>
            <w:tcW w:w="3079" w:type="dxa"/>
            <w:vAlign w:val="center"/>
          </w:tcPr>
          <w:p w14:paraId="256739F3">
            <w:pPr>
              <w:keepNext w:val="0"/>
              <w:keepLines w:val="0"/>
              <w:widowControl/>
              <w:suppressLineNumbers w:val="0"/>
              <w:jc w:val="left"/>
              <w:textAlignment w:val="center"/>
              <w:rPr>
                <w:rFonts w:ascii="仿宋_GB2312" w:hAnsi="仿宋_GB2312" w:eastAsia="仿宋_GB2312" w:cs="仿宋_GB2312"/>
                <w:sz w:val="28"/>
                <w:szCs w:val="28"/>
              </w:rPr>
            </w:pPr>
            <w:r>
              <w:rPr>
                <w:rFonts w:hint="eastAsia" w:ascii="仿宋_GB2312" w:hAnsi="宋体" w:eastAsia="仿宋_GB2312" w:cs="仿宋_GB2312"/>
                <w:i w:val="0"/>
                <w:iCs w:val="0"/>
                <w:color w:val="000000"/>
                <w:kern w:val="0"/>
                <w:sz w:val="28"/>
                <w:szCs w:val="28"/>
                <w:u w:val="none"/>
                <w:lang w:val="en-US" w:eastAsia="zh-CN" w:bidi="ar"/>
              </w:rPr>
              <w:t>资源勘探支出</w:t>
            </w:r>
          </w:p>
        </w:tc>
        <w:tc>
          <w:tcPr>
            <w:tcW w:w="1159" w:type="dxa"/>
            <w:vAlign w:val="center"/>
          </w:tcPr>
          <w:p w14:paraId="50563E64">
            <w:pPr>
              <w:keepNext w:val="0"/>
              <w:keepLines w:val="0"/>
              <w:widowControl/>
              <w:suppressLineNumbers w:val="0"/>
              <w:jc w:val="left"/>
              <w:textAlignment w:val="center"/>
              <w:rPr>
                <w:rFonts w:hint="default" w:ascii="仿宋_GB2312" w:hAnsi="仿宋_GB2312" w:eastAsia="仿宋_GB2312" w:cs="仿宋_GB2312"/>
                <w:bCs/>
                <w:sz w:val="28"/>
                <w:szCs w:val="28"/>
                <w:lang w:val="en-US"/>
              </w:rPr>
            </w:pPr>
            <w:r>
              <w:rPr>
                <w:rFonts w:hint="eastAsia" w:ascii="仿宋_GB2312" w:hAnsi="宋体" w:eastAsia="仿宋_GB2312" w:cs="仿宋_GB2312"/>
                <w:i w:val="0"/>
                <w:iCs w:val="0"/>
                <w:color w:val="000000"/>
                <w:kern w:val="0"/>
                <w:sz w:val="28"/>
                <w:szCs w:val="28"/>
                <w:u w:val="none"/>
                <w:lang w:val="en-US" w:eastAsia="zh-CN" w:bidi="ar"/>
              </w:rPr>
              <w:t>3676</w:t>
            </w:r>
          </w:p>
        </w:tc>
      </w:tr>
      <w:tr w14:paraId="522A1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386" w:type="dxa"/>
            <w:vAlign w:val="center"/>
          </w:tcPr>
          <w:p w14:paraId="062EA6F8">
            <w:pPr>
              <w:keepNext w:val="0"/>
              <w:keepLines w:val="0"/>
              <w:widowControl/>
              <w:suppressLineNumbers w:val="0"/>
              <w:jc w:val="left"/>
              <w:textAlignment w:val="center"/>
              <w:rPr>
                <w:rFonts w:ascii="仿宋_GB2312" w:hAnsi="仿宋_GB2312" w:eastAsia="仿宋_GB2312" w:cs="仿宋_GB2312"/>
                <w:bCs/>
                <w:sz w:val="28"/>
                <w:szCs w:val="28"/>
              </w:rPr>
            </w:pPr>
            <w:r>
              <w:rPr>
                <w:rFonts w:hint="eastAsia" w:ascii="仿宋_GB2312" w:hAnsi="宋体" w:eastAsia="仿宋_GB2312" w:cs="仿宋_GB2312"/>
                <w:i w:val="0"/>
                <w:iCs w:val="0"/>
                <w:color w:val="000000"/>
                <w:kern w:val="0"/>
                <w:sz w:val="28"/>
                <w:szCs w:val="28"/>
                <w:u w:val="none"/>
                <w:lang w:val="en-US" w:eastAsia="zh-CN" w:bidi="ar"/>
              </w:rPr>
              <w:t>国有土地收益基金收入</w:t>
            </w:r>
          </w:p>
        </w:tc>
        <w:tc>
          <w:tcPr>
            <w:tcW w:w="1097" w:type="dxa"/>
            <w:vAlign w:val="center"/>
          </w:tcPr>
          <w:p w14:paraId="51996676">
            <w:pPr>
              <w:keepNext w:val="0"/>
              <w:keepLines w:val="0"/>
              <w:widowControl/>
              <w:suppressLineNumbers w:val="0"/>
              <w:jc w:val="left"/>
              <w:textAlignment w:val="center"/>
              <w:rPr>
                <w:rFonts w:ascii="仿宋_GB2312" w:hAnsi="仿宋_GB2312" w:eastAsia="仿宋_GB2312" w:cs="仿宋_GB2312"/>
                <w:bCs/>
                <w:sz w:val="28"/>
                <w:szCs w:val="28"/>
              </w:rPr>
            </w:pPr>
            <w:r>
              <w:rPr>
                <w:rFonts w:hint="eastAsia" w:ascii="仿宋_GB2312" w:hAnsi="宋体" w:eastAsia="仿宋_GB2312" w:cs="仿宋_GB2312"/>
                <w:i w:val="0"/>
                <w:iCs w:val="0"/>
                <w:color w:val="000000"/>
                <w:kern w:val="0"/>
                <w:sz w:val="28"/>
                <w:szCs w:val="28"/>
                <w:u w:val="none"/>
                <w:lang w:val="en-US" w:eastAsia="zh-CN" w:bidi="ar"/>
              </w:rPr>
              <w:t>400</w:t>
            </w:r>
          </w:p>
        </w:tc>
        <w:tc>
          <w:tcPr>
            <w:tcW w:w="3079" w:type="dxa"/>
            <w:vAlign w:val="center"/>
          </w:tcPr>
          <w:p w14:paraId="2E768DFB">
            <w:pPr>
              <w:keepNext w:val="0"/>
              <w:keepLines w:val="0"/>
              <w:widowControl/>
              <w:suppressLineNumbers w:val="0"/>
              <w:jc w:val="left"/>
              <w:textAlignment w:val="center"/>
              <w:rPr>
                <w:rFonts w:ascii="仿宋_GB2312" w:hAnsi="仿宋_GB2312" w:eastAsia="仿宋_GB2312" w:cs="仿宋_GB2312"/>
                <w:sz w:val="28"/>
                <w:szCs w:val="28"/>
              </w:rPr>
            </w:pPr>
            <w:r>
              <w:rPr>
                <w:rFonts w:hint="eastAsia" w:ascii="仿宋_GB2312" w:hAnsi="宋体" w:eastAsia="仿宋_GB2312" w:cs="仿宋_GB2312"/>
                <w:i w:val="0"/>
                <w:iCs w:val="0"/>
                <w:color w:val="000000"/>
                <w:kern w:val="0"/>
                <w:sz w:val="28"/>
                <w:szCs w:val="28"/>
                <w:u w:val="none"/>
                <w:lang w:val="en-US" w:eastAsia="zh-CN" w:bidi="ar"/>
              </w:rPr>
              <w:t>城乡社区支出</w:t>
            </w:r>
          </w:p>
        </w:tc>
        <w:tc>
          <w:tcPr>
            <w:tcW w:w="1159" w:type="dxa"/>
            <w:vAlign w:val="center"/>
          </w:tcPr>
          <w:p w14:paraId="17D460F2">
            <w:pPr>
              <w:keepNext w:val="0"/>
              <w:keepLines w:val="0"/>
              <w:widowControl/>
              <w:suppressLineNumbers w:val="0"/>
              <w:jc w:val="left"/>
              <w:textAlignment w:val="center"/>
              <w:rPr>
                <w:rFonts w:hint="default" w:ascii="仿宋_GB2312" w:hAnsi="仿宋_GB2312" w:eastAsia="仿宋_GB2312" w:cs="仿宋_GB2312"/>
                <w:bCs/>
                <w:sz w:val="28"/>
                <w:szCs w:val="28"/>
                <w:lang w:val="en-US"/>
              </w:rPr>
            </w:pPr>
            <w:r>
              <w:rPr>
                <w:rFonts w:hint="eastAsia" w:ascii="仿宋_GB2312" w:hAnsi="宋体" w:eastAsia="仿宋_GB2312" w:cs="仿宋_GB2312"/>
                <w:i w:val="0"/>
                <w:iCs w:val="0"/>
                <w:color w:val="000000"/>
                <w:kern w:val="0"/>
                <w:sz w:val="28"/>
                <w:szCs w:val="28"/>
                <w:u w:val="none"/>
                <w:lang w:val="en-US" w:eastAsia="zh-CN" w:bidi="ar"/>
              </w:rPr>
              <w:t>1900</w:t>
            </w:r>
          </w:p>
        </w:tc>
      </w:tr>
      <w:tr w14:paraId="3EBDD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386" w:type="dxa"/>
            <w:vAlign w:val="center"/>
          </w:tcPr>
          <w:p w14:paraId="540EA342">
            <w:pPr>
              <w:keepNext w:val="0"/>
              <w:keepLines w:val="0"/>
              <w:widowControl/>
              <w:suppressLineNumbers w:val="0"/>
              <w:jc w:val="left"/>
              <w:textAlignment w:val="center"/>
              <w:rPr>
                <w:rFonts w:ascii="仿宋_GB2312" w:hAnsi="仿宋_GB2312" w:eastAsia="仿宋_GB2312" w:cs="仿宋_GB2312"/>
                <w:bCs/>
                <w:sz w:val="28"/>
                <w:szCs w:val="28"/>
              </w:rPr>
            </w:pPr>
            <w:r>
              <w:rPr>
                <w:rFonts w:hint="eastAsia" w:ascii="仿宋_GB2312" w:hAnsi="宋体" w:eastAsia="仿宋_GB2312" w:cs="仿宋_GB2312"/>
                <w:i w:val="0"/>
                <w:iCs w:val="0"/>
                <w:color w:val="000000"/>
                <w:kern w:val="0"/>
                <w:sz w:val="28"/>
                <w:szCs w:val="28"/>
                <w:u w:val="none"/>
                <w:lang w:val="en-US" w:eastAsia="zh-CN" w:bidi="ar"/>
              </w:rPr>
              <w:t>农业土地开发资金收入</w:t>
            </w:r>
          </w:p>
        </w:tc>
        <w:tc>
          <w:tcPr>
            <w:tcW w:w="1097" w:type="dxa"/>
            <w:vAlign w:val="center"/>
          </w:tcPr>
          <w:p w14:paraId="1CB09205">
            <w:pPr>
              <w:keepNext w:val="0"/>
              <w:keepLines w:val="0"/>
              <w:widowControl/>
              <w:suppressLineNumbers w:val="0"/>
              <w:jc w:val="left"/>
              <w:textAlignment w:val="center"/>
              <w:rPr>
                <w:rFonts w:ascii="仿宋_GB2312" w:hAnsi="仿宋_GB2312" w:eastAsia="仿宋_GB2312" w:cs="仿宋_GB2312"/>
                <w:bCs/>
                <w:sz w:val="28"/>
                <w:szCs w:val="28"/>
              </w:rPr>
            </w:pPr>
            <w:r>
              <w:rPr>
                <w:rFonts w:hint="eastAsia" w:ascii="仿宋_GB2312" w:hAnsi="宋体" w:eastAsia="仿宋_GB2312" w:cs="仿宋_GB2312"/>
                <w:i w:val="0"/>
                <w:iCs w:val="0"/>
                <w:color w:val="000000"/>
                <w:kern w:val="0"/>
                <w:sz w:val="28"/>
                <w:szCs w:val="28"/>
                <w:u w:val="none"/>
                <w:lang w:val="en-US" w:eastAsia="zh-CN" w:bidi="ar"/>
              </w:rPr>
              <w:t>150</w:t>
            </w:r>
          </w:p>
        </w:tc>
        <w:tc>
          <w:tcPr>
            <w:tcW w:w="3079" w:type="dxa"/>
            <w:vAlign w:val="center"/>
          </w:tcPr>
          <w:p w14:paraId="75068DC6">
            <w:pPr>
              <w:keepNext w:val="0"/>
              <w:keepLines w:val="0"/>
              <w:widowControl/>
              <w:suppressLineNumbers w:val="0"/>
              <w:jc w:val="left"/>
              <w:textAlignment w:val="center"/>
              <w:rPr>
                <w:rFonts w:ascii="仿宋_GB2312" w:hAnsi="仿宋_GB2312" w:eastAsia="仿宋_GB2312" w:cs="仿宋_GB2312"/>
                <w:sz w:val="28"/>
                <w:szCs w:val="28"/>
              </w:rPr>
            </w:pPr>
            <w:r>
              <w:rPr>
                <w:rFonts w:hint="eastAsia" w:ascii="仿宋_GB2312" w:hAnsi="宋体" w:eastAsia="仿宋_GB2312" w:cs="仿宋_GB2312"/>
                <w:i w:val="0"/>
                <w:iCs w:val="0"/>
                <w:color w:val="000000"/>
                <w:kern w:val="0"/>
                <w:sz w:val="28"/>
                <w:szCs w:val="28"/>
                <w:u w:val="none"/>
                <w:lang w:val="en-US" w:eastAsia="zh-CN" w:bidi="ar"/>
              </w:rPr>
              <w:t>农林水支出</w:t>
            </w:r>
          </w:p>
        </w:tc>
        <w:tc>
          <w:tcPr>
            <w:tcW w:w="1159" w:type="dxa"/>
            <w:vAlign w:val="center"/>
          </w:tcPr>
          <w:p w14:paraId="75275A88">
            <w:pPr>
              <w:keepNext w:val="0"/>
              <w:keepLines w:val="0"/>
              <w:widowControl/>
              <w:suppressLineNumbers w:val="0"/>
              <w:jc w:val="left"/>
              <w:textAlignment w:val="center"/>
              <w:rPr>
                <w:rFonts w:hint="default" w:ascii="仿宋_GB2312" w:hAnsi="仿宋_GB2312" w:eastAsia="仿宋_GB2312" w:cs="仿宋_GB2312"/>
                <w:bCs/>
                <w:sz w:val="28"/>
                <w:szCs w:val="28"/>
                <w:lang w:val="en-US"/>
              </w:rPr>
            </w:pPr>
            <w:r>
              <w:rPr>
                <w:rFonts w:hint="eastAsia" w:ascii="仿宋_GB2312" w:hAnsi="宋体" w:eastAsia="仿宋_GB2312" w:cs="仿宋_GB2312"/>
                <w:i w:val="0"/>
                <w:iCs w:val="0"/>
                <w:color w:val="000000"/>
                <w:kern w:val="0"/>
                <w:sz w:val="28"/>
                <w:szCs w:val="28"/>
                <w:u w:val="none"/>
                <w:lang w:val="en-US" w:eastAsia="zh-CN" w:bidi="ar"/>
              </w:rPr>
              <w:t>97</w:t>
            </w:r>
          </w:p>
        </w:tc>
      </w:tr>
      <w:tr w14:paraId="12FB6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3386" w:type="dxa"/>
            <w:vAlign w:val="center"/>
          </w:tcPr>
          <w:p w14:paraId="0FDC2689">
            <w:pPr>
              <w:keepNext w:val="0"/>
              <w:keepLines w:val="0"/>
              <w:widowControl/>
              <w:suppressLineNumbers w:val="0"/>
              <w:jc w:val="left"/>
              <w:textAlignment w:val="center"/>
              <w:rPr>
                <w:rFonts w:ascii="仿宋_GB2312" w:hAnsi="仿宋_GB2312" w:eastAsia="仿宋_GB2312" w:cs="仿宋_GB2312"/>
                <w:bCs/>
                <w:sz w:val="28"/>
                <w:szCs w:val="28"/>
              </w:rPr>
            </w:pPr>
          </w:p>
        </w:tc>
        <w:tc>
          <w:tcPr>
            <w:tcW w:w="1097" w:type="dxa"/>
            <w:vAlign w:val="center"/>
          </w:tcPr>
          <w:p w14:paraId="56DFF7DE">
            <w:pPr>
              <w:jc w:val="left"/>
              <w:rPr>
                <w:rFonts w:ascii="仿宋_GB2312" w:hAnsi="仿宋_GB2312" w:eastAsia="仿宋_GB2312" w:cs="仿宋_GB2312"/>
                <w:bCs/>
                <w:sz w:val="28"/>
                <w:szCs w:val="28"/>
              </w:rPr>
            </w:pPr>
          </w:p>
        </w:tc>
        <w:tc>
          <w:tcPr>
            <w:tcW w:w="3079" w:type="dxa"/>
            <w:vAlign w:val="center"/>
          </w:tcPr>
          <w:p w14:paraId="618BA74D">
            <w:pPr>
              <w:keepNext w:val="0"/>
              <w:keepLines w:val="0"/>
              <w:widowControl/>
              <w:suppressLineNumbers w:val="0"/>
              <w:jc w:val="left"/>
              <w:textAlignment w:val="center"/>
              <w:rPr>
                <w:rFonts w:ascii="仿宋_GB2312" w:hAnsi="仿宋_GB2312" w:eastAsia="仿宋_GB2312" w:cs="仿宋_GB2312"/>
                <w:sz w:val="28"/>
                <w:szCs w:val="28"/>
              </w:rPr>
            </w:pPr>
            <w:r>
              <w:rPr>
                <w:rFonts w:hint="eastAsia" w:ascii="仿宋_GB2312" w:hAnsi="宋体" w:eastAsia="仿宋_GB2312" w:cs="仿宋_GB2312"/>
                <w:i w:val="0"/>
                <w:iCs w:val="0"/>
                <w:color w:val="000000"/>
                <w:kern w:val="0"/>
                <w:sz w:val="28"/>
                <w:szCs w:val="28"/>
                <w:u w:val="none"/>
                <w:lang w:val="en-US" w:eastAsia="zh-CN" w:bidi="ar"/>
              </w:rPr>
              <w:t>其他支出</w:t>
            </w:r>
          </w:p>
        </w:tc>
        <w:tc>
          <w:tcPr>
            <w:tcW w:w="1159" w:type="dxa"/>
            <w:vAlign w:val="center"/>
          </w:tcPr>
          <w:p w14:paraId="09D1EEE0">
            <w:pPr>
              <w:keepNext w:val="0"/>
              <w:keepLines w:val="0"/>
              <w:widowControl/>
              <w:suppressLineNumbers w:val="0"/>
              <w:jc w:val="left"/>
              <w:textAlignment w:val="center"/>
              <w:rPr>
                <w:rFonts w:hint="default" w:ascii="仿宋_GB2312" w:hAnsi="仿宋_GB2312" w:eastAsia="仿宋_GB2312" w:cs="仿宋_GB2312"/>
                <w:bCs/>
                <w:sz w:val="28"/>
                <w:szCs w:val="28"/>
                <w:lang w:val="en-US"/>
              </w:rPr>
            </w:pPr>
            <w:r>
              <w:rPr>
                <w:rFonts w:hint="eastAsia" w:ascii="仿宋_GB2312" w:hAnsi="宋体" w:eastAsia="仿宋_GB2312" w:cs="仿宋_GB2312"/>
                <w:i w:val="0"/>
                <w:iCs w:val="0"/>
                <w:color w:val="000000"/>
                <w:kern w:val="0"/>
                <w:sz w:val="28"/>
                <w:szCs w:val="28"/>
                <w:highlight w:val="yellow"/>
                <w:u w:val="none"/>
                <w:lang w:val="en-US" w:eastAsia="zh-CN" w:bidi="ar"/>
              </w:rPr>
              <w:t>27202</w:t>
            </w:r>
          </w:p>
        </w:tc>
      </w:tr>
      <w:tr w14:paraId="42C83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386" w:type="dxa"/>
            <w:vAlign w:val="center"/>
          </w:tcPr>
          <w:p w14:paraId="466364B6">
            <w:pPr>
              <w:jc w:val="left"/>
              <w:rPr>
                <w:rFonts w:ascii="仿宋_GB2312" w:hAnsi="仿宋_GB2312" w:eastAsia="仿宋_GB2312" w:cs="仿宋_GB2312"/>
                <w:bCs/>
                <w:sz w:val="28"/>
                <w:szCs w:val="28"/>
              </w:rPr>
            </w:pPr>
          </w:p>
        </w:tc>
        <w:tc>
          <w:tcPr>
            <w:tcW w:w="1097" w:type="dxa"/>
            <w:vAlign w:val="center"/>
          </w:tcPr>
          <w:p w14:paraId="36AC9B1E">
            <w:pPr>
              <w:jc w:val="left"/>
              <w:rPr>
                <w:rFonts w:ascii="仿宋_GB2312" w:hAnsi="仿宋_GB2312" w:eastAsia="仿宋_GB2312" w:cs="仿宋_GB2312"/>
                <w:bCs/>
                <w:sz w:val="28"/>
                <w:szCs w:val="28"/>
              </w:rPr>
            </w:pPr>
          </w:p>
        </w:tc>
        <w:tc>
          <w:tcPr>
            <w:tcW w:w="3079" w:type="dxa"/>
            <w:vAlign w:val="center"/>
          </w:tcPr>
          <w:p w14:paraId="51609BFC">
            <w:pPr>
              <w:keepNext w:val="0"/>
              <w:keepLines w:val="0"/>
              <w:widowControl/>
              <w:suppressLineNumbers w:val="0"/>
              <w:jc w:val="left"/>
              <w:textAlignment w:val="center"/>
              <w:rPr>
                <w:rFonts w:ascii="仿宋_GB2312" w:hAnsi="仿宋_GB2312" w:eastAsia="仿宋_GB2312" w:cs="仿宋_GB2312"/>
                <w:sz w:val="28"/>
                <w:szCs w:val="28"/>
              </w:rPr>
            </w:pPr>
            <w:r>
              <w:rPr>
                <w:rFonts w:hint="eastAsia" w:ascii="仿宋_GB2312" w:hAnsi="宋体" w:eastAsia="仿宋_GB2312" w:cs="仿宋_GB2312"/>
                <w:i w:val="0"/>
                <w:iCs w:val="0"/>
                <w:color w:val="000000"/>
                <w:kern w:val="0"/>
                <w:sz w:val="28"/>
                <w:szCs w:val="28"/>
                <w:u w:val="none"/>
                <w:lang w:val="en-US" w:eastAsia="zh-CN" w:bidi="ar"/>
              </w:rPr>
              <w:t>债务付息支出</w:t>
            </w:r>
          </w:p>
        </w:tc>
        <w:tc>
          <w:tcPr>
            <w:tcW w:w="1159" w:type="dxa"/>
            <w:vAlign w:val="center"/>
          </w:tcPr>
          <w:p w14:paraId="604D06C4">
            <w:pPr>
              <w:keepNext w:val="0"/>
              <w:keepLines w:val="0"/>
              <w:widowControl/>
              <w:suppressLineNumbers w:val="0"/>
              <w:jc w:val="left"/>
              <w:textAlignment w:val="center"/>
              <w:rPr>
                <w:rFonts w:ascii="仿宋_GB2312" w:hAnsi="仿宋_GB2312" w:eastAsia="仿宋_GB2312" w:cs="仿宋_GB2312"/>
                <w:bCs/>
                <w:sz w:val="28"/>
                <w:szCs w:val="28"/>
              </w:rPr>
            </w:pPr>
            <w:r>
              <w:rPr>
                <w:rFonts w:hint="eastAsia" w:ascii="仿宋_GB2312" w:hAnsi="宋体" w:eastAsia="仿宋_GB2312" w:cs="仿宋_GB2312"/>
                <w:i w:val="0"/>
                <w:iCs w:val="0"/>
                <w:color w:val="000000"/>
                <w:kern w:val="0"/>
                <w:sz w:val="28"/>
                <w:szCs w:val="28"/>
                <w:u w:val="none"/>
                <w:lang w:val="en-US" w:eastAsia="zh-CN" w:bidi="ar"/>
              </w:rPr>
              <w:t>18232</w:t>
            </w:r>
          </w:p>
        </w:tc>
      </w:tr>
      <w:tr w14:paraId="09916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386" w:type="dxa"/>
            <w:vAlign w:val="center"/>
          </w:tcPr>
          <w:p w14:paraId="1A36884D">
            <w:pPr>
              <w:keepNext w:val="0"/>
              <w:keepLines w:val="0"/>
              <w:widowControl/>
              <w:suppressLineNumbers w:val="0"/>
              <w:jc w:val="center"/>
              <w:textAlignment w:val="center"/>
              <w:rPr>
                <w:rFonts w:ascii="仿宋_GB2312" w:hAnsi="仿宋_GB2312" w:eastAsia="仿宋_GB2312" w:cs="仿宋_GB2312"/>
                <w:b/>
                <w:bCs/>
                <w:sz w:val="28"/>
                <w:szCs w:val="28"/>
              </w:rPr>
            </w:pPr>
            <w:r>
              <w:rPr>
                <w:rFonts w:hint="eastAsia" w:ascii="仿宋_GB2312" w:hAnsi="宋体" w:eastAsia="仿宋_GB2312" w:cs="仿宋_GB2312"/>
                <w:b/>
                <w:bCs/>
                <w:i w:val="0"/>
                <w:iCs w:val="0"/>
                <w:color w:val="000000"/>
                <w:kern w:val="0"/>
                <w:sz w:val="28"/>
                <w:szCs w:val="28"/>
                <w:u w:val="none"/>
                <w:lang w:val="en-US" w:eastAsia="zh-CN" w:bidi="ar"/>
              </w:rPr>
              <w:t>本年收入合计</w:t>
            </w:r>
          </w:p>
        </w:tc>
        <w:tc>
          <w:tcPr>
            <w:tcW w:w="1097" w:type="dxa"/>
            <w:vAlign w:val="center"/>
          </w:tcPr>
          <w:p w14:paraId="7C8A9AE2">
            <w:pPr>
              <w:keepNext w:val="0"/>
              <w:keepLines w:val="0"/>
              <w:widowControl/>
              <w:suppressLineNumbers w:val="0"/>
              <w:jc w:val="left"/>
              <w:textAlignment w:val="center"/>
              <w:rPr>
                <w:rFonts w:ascii="仿宋_GB2312" w:hAnsi="仿宋_GB2312" w:eastAsia="仿宋_GB2312" w:cs="仿宋_GB2312"/>
                <w:b/>
                <w:bCs/>
                <w:sz w:val="28"/>
                <w:szCs w:val="28"/>
              </w:rPr>
            </w:pPr>
            <w:r>
              <w:rPr>
                <w:rFonts w:hint="eastAsia" w:ascii="仿宋_GB2312" w:hAnsi="宋体" w:eastAsia="仿宋_GB2312" w:cs="仿宋_GB2312"/>
                <w:b/>
                <w:bCs/>
                <w:i w:val="0"/>
                <w:iCs w:val="0"/>
                <w:color w:val="000000"/>
                <w:kern w:val="0"/>
                <w:sz w:val="28"/>
                <w:szCs w:val="28"/>
                <w:u w:val="none"/>
                <w:lang w:val="en-US" w:eastAsia="zh-CN" w:bidi="ar"/>
              </w:rPr>
              <w:t>42000</w:t>
            </w:r>
          </w:p>
        </w:tc>
        <w:tc>
          <w:tcPr>
            <w:tcW w:w="3079" w:type="dxa"/>
            <w:vAlign w:val="center"/>
          </w:tcPr>
          <w:p w14:paraId="60E9DD7D">
            <w:pPr>
              <w:keepNext w:val="0"/>
              <w:keepLines w:val="0"/>
              <w:widowControl/>
              <w:suppressLineNumbers w:val="0"/>
              <w:jc w:val="center"/>
              <w:textAlignment w:val="center"/>
              <w:rPr>
                <w:rFonts w:ascii="仿宋_GB2312" w:hAnsi="仿宋_GB2312" w:eastAsia="仿宋_GB2312" w:cs="仿宋_GB2312"/>
                <w:b/>
                <w:bCs/>
                <w:sz w:val="28"/>
                <w:szCs w:val="28"/>
              </w:rPr>
            </w:pPr>
            <w:r>
              <w:rPr>
                <w:rFonts w:hint="eastAsia" w:ascii="仿宋_GB2312" w:hAnsi="宋体" w:eastAsia="仿宋_GB2312" w:cs="仿宋_GB2312"/>
                <w:b/>
                <w:bCs/>
                <w:i w:val="0"/>
                <w:iCs w:val="0"/>
                <w:color w:val="000000"/>
                <w:kern w:val="0"/>
                <w:sz w:val="28"/>
                <w:szCs w:val="28"/>
                <w:u w:val="none"/>
                <w:lang w:val="en-US" w:eastAsia="zh-CN" w:bidi="ar"/>
              </w:rPr>
              <w:t>本年支出合计</w:t>
            </w:r>
          </w:p>
        </w:tc>
        <w:tc>
          <w:tcPr>
            <w:tcW w:w="1159" w:type="dxa"/>
            <w:vAlign w:val="center"/>
          </w:tcPr>
          <w:p w14:paraId="6AB9C11B">
            <w:pPr>
              <w:keepNext w:val="0"/>
              <w:keepLines w:val="0"/>
              <w:widowControl/>
              <w:suppressLineNumbers w:val="0"/>
              <w:jc w:val="left"/>
              <w:textAlignment w:val="center"/>
              <w:rPr>
                <w:rFonts w:hint="default" w:ascii="仿宋_GB2312" w:hAnsi="仿宋_GB2312" w:eastAsia="仿宋_GB2312" w:cs="仿宋_GB2312"/>
                <w:b/>
                <w:bCs/>
                <w:sz w:val="28"/>
                <w:szCs w:val="28"/>
                <w:lang w:val="en-US"/>
              </w:rPr>
            </w:pPr>
            <w:r>
              <w:rPr>
                <w:rFonts w:hint="eastAsia" w:ascii="仿宋_GB2312" w:hAnsi="宋体" w:eastAsia="仿宋_GB2312" w:cs="仿宋_GB2312"/>
                <w:b/>
                <w:bCs/>
                <w:i w:val="0"/>
                <w:iCs w:val="0"/>
                <w:color w:val="000000"/>
                <w:kern w:val="0"/>
                <w:sz w:val="28"/>
                <w:szCs w:val="28"/>
                <w:highlight w:val="yellow"/>
                <w:u w:val="none"/>
                <w:lang w:val="en-US" w:eastAsia="zh-CN" w:bidi="ar"/>
              </w:rPr>
              <w:t>51108</w:t>
            </w:r>
          </w:p>
        </w:tc>
      </w:tr>
      <w:tr w14:paraId="3A4A5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386" w:type="dxa"/>
            <w:vAlign w:val="center"/>
          </w:tcPr>
          <w:p w14:paraId="41DDE099">
            <w:pPr>
              <w:keepNext w:val="0"/>
              <w:keepLines w:val="0"/>
              <w:widowControl/>
              <w:suppressLineNumbers w:val="0"/>
              <w:jc w:val="left"/>
              <w:textAlignment w:val="center"/>
              <w:rPr>
                <w:rFonts w:ascii="仿宋_GB2312" w:hAnsi="仿宋_GB2312" w:eastAsia="仿宋_GB2312" w:cs="仿宋_GB2312"/>
                <w:bCs/>
                <w:sz w:val="28"/>
                <w:szCs w:val="28"/>
              </w:rPr>
            </w:pPr>
            <w:r>
              <w:rPr>
                <w:rFonts w:hint="eastAsia" w:ascii="仿宋_GB2312" w:hAnsi="宋体" w:eastAsia="仿宋_GB2312" w:cs="仿宋_GB2312"/>
                <w:i w:val="0"/>
                <w:iCs w:val="0"/>
                <w:color w:val="000000"/>
                <w:kern w:val="0"/>
                <w:sz w:val="28"/>
                <w:szCs w:val="28"/>
                <w:u w:val="none"/>
                <w:lang w:val="en-US" w:eastAsia="zh-CN" w:bidi="ar"/>
              </w:rPr>
              <w:t>上级补助收入</w:t>
            </w:r>
          </w:p>
        </w:tc>
        <w:tc>
          <w:tcPr>
            <w:tcW w:w="1097" w:type="dxa"/>
            <w:vAlign w:val="center"/>
          </w:tcPr>
          <w:p w14:paraId="3A9976D4">
            <w:pPr>
              <w:keepNext w:val="0"/>
              <w:keepLines w:val="0"/>
              <w:widowControl/>
              <w:suppressLineNumbers w:val="0"/>
              <w:jc w:val="left"/>
              <w:textAlignment w:val="center"/>
              <w:rPr>
                <w:rFonts w:ascii="仿宋_GB2312" w:hAnsi="仿宋_GB2312" w:eastAsia="仿宋_GB2312" w:cs="仿宋_GB2312"/>
                <w:bCs/>
                <w:sz w:val="28"/>
                <w:szCs w:val="28"/>
              </w:rPr>
            </w:pPr>
            <w:r>
              <w:rPr>
                <w:rFonts w:hint="eastAsia" w:ascii="仿宋_GB2312" w:hAnsi="宋体" w:eastAsia="仿宋_GB2312" w:cs="仿宋_GB2312"/>
                <w:i w:val="0"/>
                <w:iCs w:val="0"/>
                <w:color w:val="000000"/>
                <w:kern w:val="0"/>
                <w:sz w:val="28"/>
                <w:szCs w:val="28"/>
                <w:u w:val="none"/>
                <w:lang w:val="en-US" w:eastAsia="zh-CN" w:bidi="ar"/>
              </w:rPr>
              <w:t>260</w:t>
            </w:r>
          </w:p>
        </w:tc>
        <w:tc>
          <w:tcPr>
            <w:tcW w:w="3079" w:type="dxa"/>
            <w:vAlign w:val="center"/>
          </w:tcPr>
          <w:p w14:paraId="45CEB4F2">
            <w:pPr>
              <w:keepNext w:val="0"/>
              <w:keepLines w:val="0"/>
              <w:widowControl/>
              <w:suppressLineNumbers w:val="0"/>
              <w:jc w:val="both"/>
              <w:textAlignment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上解支出</w:t>
            </w:r>
          </w:p>
        </w:tc>
        <w:tc>
          <w:tcPr>
            <w:tcW w:w="1159" w:type="dxa"/>
            <w:vAlign w:val="center"/>
          </w:tcPr>
          <w:p w14:paraId="727C2B34">
            <w:pPr>
              <w:keepNext w:val="0"/>
              <w:keepLines w:val="0"/>
              <w:widowControl/>
              <w:suppressLineNumbers w:val="0"/>
              <w:jc w:val="left"/>
              <w:textAlignment w:val="center"/>
              <w:rPr>
                <w:rFonts w:hint="default"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3611</w:t>
            </w:r>
          </w:p>
        </w:tc>
      </w:tr>
      <w:tr w14:paraId="0BD07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trPr>
        <w:tc>
          <w:tcPr>
            <w:tcW w:w="3386" w:type="dxa"/>
            <w:vAlign w:val="center"/>
          </w:tcPr>
          <w:p w14:paraId="28607DF6">
            <w:pPr>
              <w:keepNext w:val="0"/>
              <w:keepLines w:val="0"/>
              <w:widowControl/>
              <w:suppressLineNumbers w:val="0"/>
              <w:jc w:val="left"/>
              <w:textAlignment w:val="center"/>
              <w:rPr>
                <w:rFonts w:ascii="仿宋_GB2312" w:hAnsi="仿宋_GB2312" w:eastAsia="仿宋_GB2312" w:cs="仿宋_GB2312"/>
                <w:sz w:val="28"/>
                <w:szCs w:val="28"/>
              </w:rPr>
            </w:pPr>
            <w:r>
              <w:rPr>
                <w:rFonts w:hint="eastAsia" w:ascii="仿宋_GB2312" w:hAnsi="宋体" w:eastAsia="仿宋_GB2312" w:cs="仿宋_GB2312"/>
                <w:i w:val="0"/>
                <w:iCs w:val="0"/>
                <w:color w:val="000000"/>
                <w:kern w:val="0"/>
                <w:sz w:val="28"/>
                <w:szCs w:val="28"/>
                <w:u w:val="none"/>
                <w:lang w:val="en-US" w:eastAsia="zh-CN" w:bidi="ar"/>
              </w:rPr>
              <w:t>上年结余收入</w:t>
            </w:r>
          </w:p>
        </w:tc>
        <w:tc>
          <w:tcPr>
            <w:tcW w:w="1097" w:type="dxa"/>
            <w:vAlign w:val="center"/>
          </w:tcPr>
          <w:p w14:paraId="071A2FD8">
            <w:pPr>
              <w:keepNext w:val="0"/>
              <w:keepLines w:val="0"/>
              <w:widowControl/>
              <w:suppressLineNumbers w:val="0"/>
              <w:jc w:val="left"/>
              <w:textAlignment w:val="center"/>
              <w:rPr>
                <w:rFonts w:hint="default" w:ascii="仿宋_GB2312" w:hAnsi="仿宋_GB2312" w:eastAsia="仿宋_GB2312" w:cs="仿宋_GB2312"/>
                <w:bCs/>
                <w:color w:val="auto"/>
                <w:sz w:val="28"/>
                <w:szCs w:val="28"/>
                <w:lang w:val="en-US"/>
              </w:rPr>
            </w:pPr>
            <w:r>
              <w:rPr>
                <w:rFonts w:hint="eastAsia" w:ascii="仿宋_GB2312" w:hAnsi="宋体" w:eastAsia="仿宋_GB2312" w:cs="仿宋_GB2312"/>
                <w:i w:val="0"/>
                <w:iCs w:val="0"/>
                <w:color w:val="auto"/>
                <w:kern w:val="0"/>
                <w:sz w:val="28"/>
                <w:szCs w:val="28"/>
                <w:u w:val="none"/>
                <w:lang w:val="en-US" w:eastAsia="zh-CN" w:bidi="ar"/>
              </w:rPr>
              <w:t>14421</w:t>
            </w:r>
          </w:p>
        </w:tc>
        <w:tc>
          <w:tcPr>
            <w:tcW w:w="3079" w:type="dxa"/>
            <w:vAlign w:val="center"/>
          </w:tcPr>
          <w:p w14:paraId="249F859B">
            <w:pPr>
              <w:keepNext w:val="0"/>
              <w:keepLines w:val="0"/>
              <w:widowControl/>
              <w:suppressLineNumbers w:val="0"/>
              <w:ind w:firstLine="560" w:firstLineChars="200"/>
              <w:jc w:val="left"/>
              <w:textAlignment w:val="center"/>
              <w:rPr>
                <w:rFonts w:ascii="仿宋_GB2312" w:hAnsi="仿宋_GB2312" w:eastAsia="仿宋_GB2312" w:cs="仿宋_GB2312"/>
                <w:color w:val="auto"/>
                <w:kern w:val="2"/>
                <w:sz w:val="28"/>
                <w:szCs w:val="28"/>
                <w:lang w:val="en-US" w:eastAsia="zh-CN" w:bidi="ar-SA"/>
              </w:rPr>
            </w:pPr>
            <w:r>
              <w:rPr>
                <w:rFonts w:hint="eastAsia" w:ascii="仿宋_GB2312" w:hAnsi="宋体" w:eastAsia="仿宋_GB2312" w:cs="仿宋_GB2312"/>
                <w:i w:val="0"/>
                <w:iCs w:val="0"/>
                <w:color w:val="auto"/>
                <w:kern w:val="0"/>
                <w:sz w:val="28"/>
                <w:szCs w:val="28"/>
                <w:u w:val="none"/>
                <w:lang w:val="en-US" w:eastAsia="zh-CN" w:bidi="ar"/>
              </w:rPr>
              <w:t>其中：抗疫特别国债还本支出</w:t>
            </w:r>
          </w:p>
        </w:tc>
        <w:tc>
          <w:tcPr>
            <w:tcW w:w="1159" w:type="dxa"/>
            <w:vAlign w:val="center"/>
          </w:tcPr>
          <w:p w14:paraId="23B505EE">
            <w:pPr>
              <w:keepNext w:val="0"/>
              <w:keepLines w:val="0"/>
              <w:widowControl/>
              <w:suppressLineNumbers w:val="0"/>
              <w:jc w:val="left"/>
              <w:textAlignment w:val="center"/>
              <w:rPr>
                <w:rFonts w:ascii="仿宋_GB2312" w:hAnsi="仿宋_GB2312" w:eastAsia="仿宋_GB2312" w:cs="仿宋_GB2312"/>
                <w:bCs/>
                <w:color w:val="auto"/>
                <w:kern w:val="2"/>
                <w:sz w:val="28"/>
                <w:szCs w:val="28"/>
                <w:lang w:val="en-US" w:eastAsia="zh-CN" w:bidi="ar-SA"/>
              </w:rPr>
            </w:pPr>
            <w:r>
              <w:rPr>
                <w:rFonts w:hint="eastAsia" w:ascii="仿宋_GB2312" w:hAnsi="宋体" w:eastAsia="仿宋_GB2312" w:cs="仿宋_GB2312"/>
                <w:i w:val="0"/>
                <w:iCs w:val="0"/>
                <w:color w:val="auto"/>
                <w:kern w:val="0"/>
                <w:sz w:val="28"/>
                <w:szCs w:val="28"/>
                <w:u w:val="none"/>
                <w:lang w:val="en-US" w:eastAsia="zh-CN" w:bidi="ar"/>
              </w:rPr>
              <w:t>3611</w:t>
            </w:r>
          </w:p>
        </w:tc>
      </w:tr>
      <w:tr w14:paraId="3C114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3386" w:type="dxa"/>
            <w:vAlign w:val="center"/>
          </w:tcPr>
          <w:p w14:paraId="360BCDC0">
            <w:pPr>
              <w:jc w:val="left"/>
              <w:rPr>
                <w:rFonts w:hint="eastAsia" w:ascii="仿宋_GB2312" w:hAnsi="仿宋_GB2312" w:eastAsia="仿宋_GB2312" w:cs="仿宋_GB2312"/>
                <w:bCs/>
                <w:sz w:val="28"/>
                <w:szCs w:val="28"/>
                <w:lang w:eastAsia="zh-CN"/>
              </w:rPr>
            </w:pPr>
            <w:r>
              <w:rPr>
                <w:rFonts w:hint="eastAsia" w:ascii="仿宋_GB2312" w:hAnsi="仿宋_GB2312" w:eastAsia="仿宋_GB2312" w:cs="仿宋_GB2312"/>
                <w:bCs/>
                <w:sz w:val="28"/>
                <w:szCs w:val="28"/>
                <w:lang w:eastAsia="zh-CN"/>
              </w:rPr>
              <w:t>地方政府专项债务收入</w:t>
            </w:r>
          </w:p>
        </w:tc>
        <w:tc>
          <w:tcPr>
            <w:tcW w:w="1097" w:type="dxa"/>
            <w:vAlign w:val="center"/>
          </w:tcPr>
          <w:p w14:paraId="1C300CC0">
            <w:pPr>
              <w:jc w:val="left"/>
              <w:rPr>
                <w:rFonts w:hint="default" w:ascii="仿宋_GB2312" w:hAnsi="仿宋_GB2312" w:eastAsia="仿宋_GB2312" w:cs="仿宋_GB2312"/>
                <w:bCs/>
                <w:color w:val="auto"/>
                <w:sz w:val="28"/>
                <w:szCs w:val="28"/>
                <w:lang w:val="en-US" w:eastAsia="zh-CN"/>
              </w:rPr>
            </w:pPr>
            <w:r>
              <w:rPr>
                <w:rFonts w:hint="eastAsia" w:ascii="仿宋_GB2312" w:hAnsi="仿宋_GB2312" w:eastAsia="仿宋_GB2312" w:cs="仿宋_GB2312"/>
                <w:bCs/>
                <w:color w:val="auto"/>
                <w:sz w:val="28"/>
                <w:szCs w:val="28"/>
                <w:highlight w:val="yellow"/>
                <w:lang w:val="en-US" w:eastAsia="zh-CN"/>
              </w:rPr>
              <w:t>15600</w:t>
            </w:r>
          </w:p>
        </w:tc>
        <w:tc>
          <w:tcPr>
            <w:tcW w:w="3079" w:type="dxa"/>
            <w:vAlign w:val="center"/>
          </w:tcPr>
          <w:p w14:paraId="4A7F8CB0">
            <w:pPr>
              <w:keepNext w:val="0"/>
              <w:keepLines w:val="0"/>
              <w:widowControl/>
              <w:suppressLineNumbers w:val="0"/>
              <w:jc w:val="left"/>
              <w:textAlignment w:val="center"/>
              <w:rPr>
                <w:rFonts w:hint="default"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债券还本支出</w:t>
            </w:r>
          </w:p>
        </w:tc>
        <w:tc>
          <w:tcPr>
            <w:tcW w:w="1159" w:type="dxa"/>
            <w:vAlign w:val="center"/>
          </w:tcPr>
          <w:p w14:paraId="501A9403">
            <w:pPr>
              <w:keepNext w:val="0"/>
              <w:keepLines w:val="0"/>
              <w:widowControl/>
              <w:suppressLineNumbers w:val="0"/>
              <w:jc w:val="left"/>
              <w:textAlignment w:val="center"/>
              <w:rPr>
                <w:rFonts w:hint="default" w:ascii="仿宋_GB2312" w:hAnsi="仿宋_GB2312" w:eastAsia="仿宋_GB2312" w:cs="仿宋_GB2312"/>
                <w:bCs/>
                <w:color w:val="auto"/>
                <w:kern w:val="2"/>
                <w:sz w:val="28"/>
                <w:szCs w:val="28"/>
                <w:lang w:val="en-US" w:eastAsia="zh-CN" w:bidi="ar-SA"/>
              </w:rPr>
            </w:pPr>
            <w:r>
              <w:rPr>
                <w:rFonts w:hint="eastAsia" w:ascii="仿宋_GB2312" w:hAnsi="仿宋_GB2312" w:eastAsia="仿宋_GB2312" w:cs="仿宋_GB2312"/>
                <w:bCs/>
                <w:color w:val="auto"/>
                <w:kern w:val="2"/>
                <w:sz w:val="28"/>
                <w:szCs w:val="28"/>
                <w:lang w:val="en-US" w:eastAsia="zh-CN" w:bidi="ar-SA"/>
              </w:rPr>
              <w:t>1462</w:t>
            </w:r>
          </w:p>
        </w:tc>
      </w:tr>
      <w:tr w14:paraId="1591E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3386" w:type="dxa"/>
            <w:vAlign w:val="center"/>
          </w:tcPr>
          <w:p w14:paraId="222E26EB">
            <w:pPr>
              <w:keepNext w:val="0"/>
              <w:keepLines w:val="0"/>
              <w:widowControl/>
              <w:suppressLineNumbers w:val="0"/>
              <w:jc w:val="center"/>
              <w:textAlignment w:val="center"/>
              <w:rPr>
                <w:rFonts w:ascii="仿宋_GB2312" w:hAnsi="仿宋_GB2312" w:eastAsia="仿宋_GB2312" w:cs="仿宋_GB2312"/>
                <w:b/>
                <w:bCs/>
                <w:sz w:val="28"/>
                <w:szCs w:val="28"/>
              </w:rPr>
            </w:pPr>
          </w:p>
        </w:tc>
        <w:tc>
          <w:tcPr>
            <w:tcW w:w="1097" w:type="dxa"/>
            <w:vAlign w:val="center"/>
          </w:tcPr>
          <w:p w14:paraId="0EEF427B">
            <w:pPr>
              <w:keepNext w:val="0"/>
              <w:keepLines w:val="0"/>
              <w:widowControl/>
              <w:suppressLineNumbers w:val="0"/>
              <w:jc w:val="left"/>
              <w:textAlignment w:val="center"/>
              <w:rPr>
                <w:rFonts w:hint="default" w:ascii="仿宋_GB2312" w:hAnsi="仿宋_GB2312" w:eastAsia="仿宋_GB2312" w:cs="仿宋_GB2312"/>
                <w:b/>
                <w:bCs/>
                <w:color w:val="auto"/>
                <w:sz w:val="28"/>
                <w:szCs w:val="28"/>
                <w:lang w:val="en-US"/>
              </w:rPr>
            </w:pPr>
          </w:p>
        </w:tc>
        <w:tc>
          <w:tcPr>
            <w:tcW w:w="3079" w:type="dxa"/>
            <w:vAlign w:val="center"/>
          </w:tcPr>
          <w:p w14:paraId="613E1D42">
            <w:pPr>
              <w:keepNext w:val="0"/>
              <w:keepLines w:val="0"/>
              <w:widowControl/>
              <w:suppressLineNumbers w:val="0"/>
              <w:jc w:val="left"/>
              <w:textAlignment w:val="center"/>
              <w:rPr>
                <w:rFonts w:ascii="仿宋_GB2312" w:hAnsi="仿宋_GB2312" w:eastAsia="仿宋_GB2312" w:cs="仿宋_GB2312"/>
                <w:color w:val="auto"/>
                <w:kern w:val="2"/>
                <w:sz w:val="28"/>
                <w:szCs w:val="28"/>
                <w:lang w:val="en-US" w:eastAsia="zh-CN" w:bidi="ar-SA"/>
              </w:rPr>
            </w:pPr>
            <w:r>
              <w:rPr>
                <w:rFonts w:hint="eastAsia" w:ascii="仿宋_GB2312" w:hAnsi="宋体" w:eastAsia="仿宋_GB2312" w:cs="仿宋_GB2312"/>
                <w:i w:val="0"/>
                <w:iCs w:val="0"/>
                <w:color w:val="auto"/>
                <w:kern w:val="0"/>
                <w:sz w:val="28"/>
                <w:szCs w:val="28"/>
                <w:u w:val="none"/>
                <w:lang w:val="en-US" w:eastAsia="zh-CN" w:bidi="ar"/>
              </w:rPr>
              <w:t>调出资金</w:t>
            </w:r>
          </w:p>
        </w:tc>
        <w:tc>
          <w:tcPr>
            <w:tcW w:w="1159" w:type="dxa"/>
            <w:vAlign w:val="center"/>
          </w:tcPr>
          <w:p w14:paraId="53713466">
            <w:pPr>
              <w:keepNext w:val="0"/>
              <w:keepLines w:val="0"/>
              <w:widowControl/>
              <w:suppressLineNumbers w:val="0"/>
              <w:jc w:val="left"/>
              <w:textAlignment w:val="center"/>
              <w:rPr>
                <w:rFonts w:hint="default" w:ascii="仿宋_GB2312" w:hAnsi="仿宋_GB2312" w:eastAsia="仿宋_GB2312" w:cs="仿宋_GB2312"/>
                <w:bCs/>
                <w:color w:val="auto"/>
                <w:kern w:val="2"/>
                <w:sz w:val="28"/>
                <w:szCs w:val="28"/>
                <w:lang w:val="en-US" w:eastAsia="zh-CN" w:bidi="ar-SA"/>
              </w:rPr>
            </w:pPr>
            <w:r>
              <w:rPr>
                <w:rFonts w:hint="eastAsia" w:ascii="仿宋_GB2312" w:hAnsi="宋体" w:eastAsia="仿宋_GB2312" w:cs="仿宋_GB2312"/>
                <w:i w:val="0"/>
                <w:iCs w:val="0"/>
                <w:color w:val="auto"/>
                <w:kern w:val="0"/>
                <w:sz w:val="28"/>
                <w:szCs w:val="28"/>
                <w:u w:val="none"/>
                <w:lang w:val="en-US" w:eastAsia="zh-CN" w:bidi="ar"/>
              </w:rPr>
              <w:t>16100</w:t>
            </w:r>
          </w:p>
        </w:tc>
      </w:tr>
      <w:tr w14:paraId="78450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386" w:type="dxa"/>
            <w:vAlign w:val="center"/>
          </w:tcPr>
          <w:p w14:paraId="3205AA8D">
            <w:pPr>
              <w:keepNext w:val="0"/>
              <w:keepLines w:val="0"/>
              <w:widowControl/>
              <w:suppressLineNumbers w:val="0"/>
              <w:jc w:val="center"/>
              <w:textAlignment w:val="center"/>
              <w:rPr>
                <w:rFonts w:hint="eastAsia" w:ascii="仿宋_GB2312" w:hAnsi="仿宋_GB2312" w:eastAsia="仿宋_GB2312" w:cs="仿宋_GB2312"/>
                <w:b/>
                <w:bCs/>
                <w:kern w:val="2"/>
                <w:sz w:val="28"/>
                <w:szCs w:val="28"/>
                <w:lang w:val="en-US" w:eastAsia="zh-CN" w:bidi="ar-SA"/>
              </w:rPr>
            </w:pPr>
            <w:r>
              <w:rPr>
                <w:rFonts w:hint="eastAsia" w:ascii="仿宋_GB2312" w:hAnsi="宋体" w:eastAsia="仿宋_GB2312" w:cs="仿宋_GB2312"/>
                <w:b/>
                <w:bCs/>
                <w:i w:val="0"/>
                <w:iCs w:val="0"/>
                <w:color w:val="000000"/>
                <w:kern w:val="0"/>
                <w:sz w:val="28"/>
                <w:szCs w:val="28"/>
                <w:u w:val="none"/>
                <w:lang w:val="en-US" w:eastAsia="zh-CN" w:bidi="ar"/>
              </w:rPr>
              <w:t>收入总计</w:t>
            </w:r>
          </w:p>
        </w:tc>
        <w:tc>
          <w:tcPr>
            <w:tcW w:w="1097" w:type="dxa"/>
            <w:vAlign w:val="center"/>
          </w:tcPr>
          <w:p w14:paraId="541A780E">
            <w:pPr>
              <w:keepNext w:val="0"/>
              <w:keepLines w:val="0"/>
              <w:widowControl/>
              <w:suppressLineNumbers w:val="0"/>
              <w:jc w:val="left"/>
              <w:textAlignment w:val="center"/>
              <w:rPr>
                <w:rFonts w:hint="default" w:ascii="仿宋_GB2312" w:hAnsi="仿宋_GB2312" w:eastAsia="仿宋_GB2312" w:cs="仿宋_GB2312"/>
                <w:b/>
                <w:bCs/>
                <w:color w:val="auto"/>
                <w:kern w:val="2"/>
                <w:sz w:val="28"/>
                <w:szCs w:val="28"/>
                <w:lang w:val="en-US" w:eastAsia="zh-CN" w:bidi="ar-SA"/>
              </w:rPr>
            </w:pPr>
            <w:r>
              <w:rPr>
                <w:rFonts w:hint="eastAsia" w:ascii="仿宋_GB2312" w:hAnsi="宋体" w:eastAsia="仿宋_GB2312" w:cs="仿宋_GB2312"/>
                <w:b/>
                <w:bCs/>
                <w:i w:val="0"/>
                <w:iCs w:val="0"/>
                <w:color w:val="auto"/>
                <w:kern w:val="0"/>
                <w:sz w:val="28"/>
                <w:szCs w:val="28"/>
                <w:highlight w:val="yellow"/>
                <w:u w:val="none"/>
                <w:lang w:val="en-US" w:eastAsia="zh-CN" w:bidi="ar"/>
              </w:rPr>
              <w:t>72281</w:t>
            </w:r>
          </w:p>
        </w:tc>
        <w:tc>
          <w:tcPr>
            <w:tcW w:w="3079" w:type="dxa"/>
            <w:vAlign w:val="center"/>
          </w:tcPr>
          <w:p w14:paraId="3B8B724E">
            <w:pPr>
              <w:keepNext w:val="0"/>
              <w:keepLines w:val="0"/>
              <w:widowControl/>
              <w:suppressLineNumbers w:val="0"/>
              <w:jc w:val="center"/>
              <w:textAlignment w:val="center"/>
              <w:rPr>
                <w:rFonts w:hint="eastAsia" w:ascii="仿宋_GB2312" w:hAnsi="仿宋_GB2312" w:eastAsia="仿宋_GB2312" w:cs="仿宋_GB2312"/>
                <w:b/>
                <w:bCs/>
                <w:color w:val="auto"/>
                <w:kern w:val="2"/>
                <w:sz w:val="28"/>
                <w:szCs w:val="28"/>
                <w:lang w:val="en-US" w:eastAsia="zh-CN" w:bidi="ar-SA"/>
              </w:rPr>
            </w:pPr>
            <w:r>
              <w:rPr>
                <w:rFonts w:hint="eastAsia" w:ascii="仿宋_GB2312" w:hAnsi="宋体" w:eastAsia="仿宋_GB2312" w:cs="仿宋_GB2312"/>
                <w:b/>
                <w:bCs/>
                <w:i w:val="0"/>
                <w:iCs w:val="0"/>
                <w:color w:val="auto"/>
                <w:kern w:val="0"/>
                <w:sz w:val="28"/>
                <w:szCs w:val="28"/>
                <w:u w:val="none"/>
                <w:lang w:val="en-US" w:eastAsia="zh-CN" w:bidi="ar"/>
              </w:rPr>
              <w:t>支出总计</w:t>
            </w:r>
          </w:p>
        </w:tc>
        <w:tc>
          <w:tcPr>
            <w:tcW w:w="1159" w:type="dxa"/>
            <w:vAlign w:val="center"/>
          </w:tcPr>
          <w:p w14:paraId="2AD2F1C8">
            <w:pPr>
              <w:keepNext w:val="0"/>
              <w:keepLines w:val="0"/>
              <w:widowControl/>
              <w:suppressLineNumbers w:val="0"/>
              <w:jc w:val="left"/>
              <w:textAlignment w:val="center"/>
              <w:rPr>
                <w:rFonts w:hint="default" w:ascii="仿宋_GB2312" w:hAnsi="仿宋_GB2312" w:eastAsia="仿宋_GB2312" w:cs="仿宋_GB2312"/>
                <w:b/>
                <w:bCs/>
                <w:color w:val="auto"/>
                <w:kern w:val="2"/>
                <w:sz w:val="28"/>
                <w:szCs w:val="28"/>
                <w:lang w:val="en-US" w:eastAsia="zh-CN" w:bidi="ar-SA"/>
              </w:rPr>
            </w:pPr>
            <w:r>
              <w:rPr>
                <w:rFonts w:hint="eastAsia" w:ascii="仿宋_GB2312" w:hAnsi="宋体" w:eastAsia="仿宋_GB2312" w:cs="仿宋_GB2312"/>
                <w:b/>
                <w:bCs/>
                <w:i w:val="0"/>
                <w:iCs w:val="0"/>
                <w:color w:val="auto"/>
                <w:kern w:val="0"/>
                <w:sz w:val="28"/>
                <w:szCs w:val="28"/>
                <w:highlight w:val="yellow"/>
                <w:u w:val="none"/>
                <w:lang w:val="en-US" w:eastAsia="zh-CN" w:bidi="ar"/>
              </w:rPr>
              <w:t>72281</w:t>
            </w:r>
          </w:p>
        </w:tc>
      </w:tr>
    </w:tbl>
    <w:p w14:paraId="2636DBD2">
      <w:pPr>
        <w:keepNext w:val="0"/>
        <w:keepLines w:val="0"/>
        <w:pageBreakBefore w:val="0"/>
        <w:widowControl w:val="0"/>
        <w:kinsoku/>
        <w:wordWrap/>
        <w:overflowPunct/>
        <w:topLinePunct w:val="0"/>
        <w:autoSpaceDE/>
        <w:autoSpaceDN/>
        <w:bidi w:val="0"/>
        <w:adjustRightInd w:val="0"/>
        <w:snapToGrid w:val="0"/>
        <w:spacing w:line="660" w:lineRule="exact"/>
        <w:textAlignment w:val="auto"/>
        <w:rPr>
          <w:rFonts w:hint="eastAsia" w:ascii="方正大标宋简体" w:hAnsi="宋体" w:eastAsia="仿宋_GB2312" w:cs="宋体"/>
          <w:bCs/>
          <w:sz w:val="32"/>
          <w:szCs w:val="32"/>
          <w:lang w:eastAsia="zh-CN"/>
        </w:rPr>
      </w:pPr>
      <w:bookmarkStart w:id="1" w:name="_GoBack"/>
      <w:bookmarkEnd w:id="1"/>
      <w:r>
        <w:rPr>
          <w:rFonts w:hint="eastAsia" w:ascii="仿宋_GB2312" w:hAnsi="仿宋" w:eastAsia="仿宋_GB2312" w:cs="仿宋"/>
          <w:sz w:val="32"/>
          <w:szCs w:val="32"/>
        </w:rPr>
        <w:t>附表</w:t>
      </w:r>
      <w:r>
        <w:rPr>
          <w:rFonts w:hint="eastAsia" w:ascii="仿宋_GB2312" w:hAnsi="仿宋" w:eastAsia="仿宋_GB2312" w:cs="仿宋"/>
          <w:sz w:val="32"/>
          <w:szCs w:val="32"/>
          <w:lang w:val="en-US" w:eastAsia="zh-CN"/>
        </w:rPr>
        <w:t>九</w:t>
      </w:r>
    </w:p>
    <w:p w14:paraId="7B0EF4EC">
      <w:pPr>
        <w:keepNext w:val="0"/>
        <w:keepLines w:val="0"/>
        <w:pageBreakBefore w:val="0"/>
        <w:widowControl w:val="0"/>
        <w:kinsoku/>
        <w:wordWrap/>
        <w:overflowPunct/>
        <w:topLinePunct w:val="0"/>
        <w:autoSpaceDE/>
        <w:autoSpaceDN/>
        <w:bidi w:val="0"/>
        <w:adjustRightInd w:val="0"/>
        <w:snapToGrid w:val="0"/>
        <w:spacing w:line="660" w:lineRule="exact"/>
        <w:jc w:val="center"/>
        <w:textAlignment w:val="auto"/>
        <w:rPr>
          <w:rFonts w:hint="eastAsia" w:ascii="仿宋" w:hAnsi="仿宋" w:eastAsia="仿宋" w:cs="仿宋"/>
          <w:sz w:val="44"/>
          <w:szCs w:val="44"/>
        </w:rPr>
      </w:pPr>
      <w:r>
        <w:rPr>
          <w:rFonts w:hint="eastAsia" w:ascii="黑体" w:hAnsi="黑体" w:eastAsia="黑体" w:cs="黑体"/>
          <w:bCs/>
          <w:sz w:val="40"/>
          <w:szCs w:val="40"/>
        </w:rPr>
        <w:t>西峡县</w:t>
      </w:r>
      <w:r>
        <w:rPr>
          <w:rFonts w:hint="eastAsia" w:ascii="黑体" w:hAnsi="黑体" w:eastAsia="黑体" w:cs="黑体"/>
          <w:bCs/>
          <w:sz w:val="40"/>
          <w:szCs w:val="40"/>
          <w:lang w:val="en-US" w:eastAsia="zh-CN"/>
        </w:rPr>
        <w:t>2026年社保基金收支预算总表</w:t>
      </w:r>
    </w:p>
    <w:p w14:paraId="35E6220A">
      <w:pPr>
        <w:keepNext w:val="0"/>
        <w:keepLines w:val="0"/>
        <w:pageBreakBefore w:val="0"/>
        <w:widowControl w:val="0"/>
        <w:kinsoku/>
        <w:wordWrap/>
        <w:overflowPunct/>
        <w:topLinePunct w:val="0"/>
        <w:autoSpaceDE/>
        <w:autoSpaceDN/>
        <w:bidi w:val="0"/>
        <w:adjustRightInd w:val="0"/>
        <w:snapToGrid w:val="0"/>
        <w:spacing w:line="660" w:lineRule="exact"/>
        <w:ind w:firstLine="7040" w:firstLineChars="2200"/>
        <w:textAlignment w:val="auto"/>
        <w:rPr>
          <w:rFonts w:hint="eastAsia" w:ascii="仿宋_GB2312" w:hAnsi="仿宋" w:eastAsia="仿宋_GB2312" w:cs="仿宋"/>
          <w:sz w:val="32"/>
          <w:szCs w:val="32"/>
        </w:rPr>
      </w:pPr>
      <w:r>
        <w:rPr>
          <w:rFonts w:hint="eastAsia" w:ascii="仿宋_GB2312" w:hAnsi="仿宋" w:eastAsia="仿宋_GB2312" w:cs="仿宋"/>
          <w:sz w:val="32"/>
          <w:szCs w:val="32"/>
        </w:rPr>
        <w:t>单位</w:t>
      </w:r>
      <w:r>
        <w:rPr>
          <w:rFonts w:ascii="仿宋_GB2312" w:hAnsi="仿宋" w:eastAsia="仿宋_GB2312" w:cs="仿宋"/>
          <w:sz w:val="32"/>
          <w:szCs w:val="32"/>
        </w:rPr>
        <w:t>:</w:t>
      </w:r>
      <w:r>
        <w:rPr>
          <w:rFonts w:hint="eastAsia" w:ascii="仿宋_GB2312" w:hAnsi="仿宋" w:eastAsia="仿宋_GB2312" w:cs="仿宋"/>
          <w:sz w:val="32"/>
          <w:szCs w:val="32"/>
        </w:rPr>
        <w:t>万元</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8"/>
        <w:gridCol w:w="1591"/>
        <w:gridCol w:w="2826"/>
        <w:gridCol w:w="1614"/>
      </w:tblGrid>
      <w:tr w14:paraId="30C3E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2848" w:type="dxa"/>
            <w:vAlign w:val="center"/>
          </w:tcPr>
          <w:p w14:paraId="1552098E">
            <w:pPr>
              <w:keepNext w:val="0"/>
              <w:keepLines w:val="0"/>
              <w:widowControl/>
              <w:suppressLineNumbers w:val="0"/>
              <w:jc w:val="center"/>
              <w:textAlignment w:val="center"/>
              <w:rPr>
                <w:rFonts w:hint="eastAsia" w:ascii="黑体" w:hAnsi="黑体" w:eastAsia="黑体" w:cs="黑体"/>
                <w:sz w:val="32"/>
                <w:szCs w:val="32"/>
                <w:vertAlign w:val="baseline"/>
              </w:rPr>
            </w:pPr>
            <w:r>
              <w:rPr>
                <w:rFonts w:hint="eastAsia" w:ascii="黑体" w:hAnsi="黑体" w:eastAsia="黑体" w:cs="黑体"/>
                <w:i w:val="0"/>
                <w:iCs w:val="0"/>
                <w:color w:val="000000"/>
                <w:kern w:val="0"/>
                <w:sz w:val="32"/>
                <w:szCs w:val="32"/>
                <w:u w:val="none"/>
                <w:lang w:val="en-US" w:eastAsia="zh-CN" w:bidi="ar"/>
              </w:rPr>
              <w:t>预算科目</w:t>
            </w:r>
          </w:p>
        </w:tc>
        <w:tc>
          <w:tcPr>
            <w:tcW w:w="1591" w:type="dxa"/>
            <w:vAlign w:val="center"/>
          </w:tcPr>
          <w:p w14:paraId="2EACF3CA">
            <w:pPr>
              <w:keepNext w:val="0"/>
              <w:keepLines w:val="0"/>
              <w:widowControl/>
              <w:suppressLineNumbers w:val="0"/>
              <w:jc w:val="center"/>
              <w:textAlignment w:val="center"/>
              <w:rPr>
                <w:rFonts w:hint="eastAsia" w:ascii="黑体" w:hAnsi="黑体" w:eastAsia="黑体" w:cs="黑体"/>
                <w:sz w:val="32"/>
                <w:szCs w:val="32"/>
                <w:vertAlign w:val="baseline"/>
              </w:rPr>
            </w:pPr>
            <w:r>
              <w:rPr>
                <w:rFonts w:hint="eastAsia" w:ascii="黑体" w:hAnsi="黑体" w:eastAsia="黑体" w:cs="黑体"/>
                <w:i w:val="0"/>
                <w:iCs w:val="0"/>
                <w:color w:val="000000"/>
                <w:kern w:val="0"/>
                <w:sz w:val="32"/>
                <w:szCs w:val="32"/>
                <w:u w:val="none"/>
                <w:lang w:val="en-US" w:eastAsia="zh-CN" w:bidi="ar"/>
              </w:rPr>
              <w:t>预算数</w:t>
            </w:r>
          </w:p>
        </w:tc>
        <w:tc>
          <w:tcPr>
            <w:tcW w:w="2826" w:type="dxa"/>
            <w:vAlign w:val="center"/>
          </w:tcPr>
          <w:p w14:paraId="668752D5">
            <w:pPr>
              <w:keepNext w:val="0"/>
              <w:keepLines w:val="0"/>
              <w:widowControl/>
              <w:suppressLineNumbers w:val="0"/>
              <w:jc w:val="center"/>
              <w:textAlignment w:val="center"/>
              <w:rPr>
                <w:rFonts w:hint="eastAsia" w:ascii="黑体" w:hAnsi="黑体" w:eastAsia="黑体" w:cs="黑体"/>
                <w:sz w:val="32"/>
                <w:szCs w:val="32"/>
                <w:vertAlign w:val="baseline"/>
              </w:rPr>
            </w:pPr>
            <w:r>
              <w:rPr>
                <w:rFonts w:hint="eastAsia" w:ascii="黑体" w:hAnsi="黑体" w:eastAsia="黑体" w:cs="黑体"/>
                <w:i w:val="0"/>
                <w:iCs w:val="0"/>
                <w:color w:val="000000"/>
                <w:kern w:val="0"/>
                <w:sz w:val="32"/>
                <w:szCs w:val="32"/>
                <w:u w:val="none"/>
                <w:lang w:val="en-US" w:eastAsia="zh-CN" w:bidi="ar"/>
              </w:rPr>
              <w:t>预算科目</w:t>
            </w:r>
          </w:p>
        </w:tc>
        <w:tc>
          <w:tcPr>
            <w:tcW w:w="1614" w:type="dxa"/>
            <w:vAlign w:val="center"/>
          </w:tcPr>
          <w:p w14:paraId="56329C37">
            <w:pPr>
              <w:keepNext w:val="0"/>
              <w:keepLines w:val="0"/>
              <w:widowControl/>
              <w:suppressLineNumbers w:val="0"/>
              <w:jc w:val="center"/>
              <w:textAlignment w:val="center"/>
              <w:rPr>
                <w:rFonts w:hint="eastAsia" w:ascii="黑体" w:hAnsi="黑体" w:eastAsia="黑体" w:cs="黑体"/>
                <w:sz w:val="32"/>
                <w:szCs w:val="32"/>
                <w:vertAlign w:val="baseline"/>
              </w:rPr>
            </w:pPr>
            <w:r>
              <w:rPr>
                <w:rFonts w:hint="eastAsia" w:ascii="黑体" w:hAnsi="黑体" w:eastAsia="黑体" w:cs="黑体"/>
                <w:i w:val="0"/>
                <w:iCs w:val="0"/>
                <w:color w:val="000000"/>
                <w:kern w:val="0"/>
                <w:sz w:val="32"/>
                <w:szCs w:val="32"/>
                <w:u w:val="none"/>
                <w:lang w:val="en-US" w:eastAsia="zh-CN" w:bidi="ar"/>
              </w:rPr>
              <w:t>预算数</w:t>
            </w:r>
          </w:p>
        </w:tc>
      </w:tr>
      <w:tr w14:paraId="16464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5" w:hRule="atLeast"/>
        </w:trPr>
        <w:tc>
          <w:tcPr>
            <w:tcW w:w="2848" w:type="dxa"/>
            <w:vAlign w:val="center"/>
          </w:tcPr>
          <w:p w14:paraId="0F19EDAE">
            <w:pPr>
              <w:keepNext w:val="0"/>
              <w:keepLines w:val="0"/>
              <w:widowControl/>
              <w:suppressLineNumbers w:val="0"/>
              <w:jc w:val="left"/>
              <w:textAlignment w:val="center"/>
              <w:rPr>
                <w:rFonts w:hint="eastAsia" w:ascii="仿宋_GB2312" w:hAnsi="仿宋_GB2312" w:eastAsia="仿宋_GB2312" w:cs="仿宋_GB2312"/>
                <w:sz w:val="32"/>
                <w:szCs w:val="32"/>
                <w:vertAlign w:val="baseline"/>
              </w:rPr>
            </w:pPr>
            <w:r>
              <w:rPr>
                <w:rFonts w:hint="eastAsia" w:ascii="仿宋_GB2312" w:hAnsi="仿宋_GB2312" w:eastAsia="仿宋_GB2312" w:cs="仿宋_GB2312"/>
                <w:i w:val="0"/>
                <w:iCs w:val="0"/>
                <w:color w:val="000000"/>
                <w:kern w:val="0"/>
                <w:sz w:val="32"/>
                <w:szCs w:val="32"/>
                <w:u w:val="none"/>
                <w:lang w:val="en-US" w:eastAsia="zh-CN" w:bidi="ar"/>
              </w:rPr>
              <w:t>机关事业单位基本养老保险基金收入</w:t>
            </w:r>
          </w:p>
        </w:tc>
        <w:tc>
          <w:tcPr>
            <w:tcW w:w="1591" w:type="dxa"/>
            <w:vAlign w:val="center"/>
          </w:tcPr>
          <w:p w14:paraId="00811E4A">
            <w:pPr>
              <w:keepNext w:val="0"/>
              <w:keepLines w:val="0"/>
              <w:widowControl/>
              <w:suppressLineNumbers w:val="0"/>
              <w:jc w:val="left"/>
              <w:textAlignment w:val="center"/>
              <w:rPr>
                <w:rFonts w:hint="eastAsia" w:ascii="仿宋_GB2312" w:hAnsi="仿宋_GB2312" w:eastAsia="仿宋_GB2312" w:cs="仿宋_GB2312"/>
                <w:sz w:val="32"/>
                <w:szCs w:val="32"/>
                <w:vertAlign w:val="baseline"/>
              </w:rPr>
            </w:pPr>
            <w:r>
              <w:rPr>
                <w:rFonts w:hint="eastAsia" w:ascii="仿宋_GB2312" w:hAnsi="仿宋_GB2312" w:eastAsia="仿宋_GB2312" w:cs="仿宋_GB2312"/>
                <w:i w:val="0"/>
                <w:iCs w:val="0"/>
                <w:color w:val="000000"/>
                <w:kern w:val="0"/>
                <w:sz w:val="32"/>
                <w:szCs w:val="32"/>
                <w:u w:val="none"/>
                <w:lang w:val="en-US" w:eastAsia="zh-CN" w:bidi="ar"/>
              </w:rPr>
              <w:t xml:space="preserve">41782 </w:t>
            </w:r>
          </w:p>
        </w:tc>
        <w:tc>
          <w:tcPr>
            <w:tcW w:w="2826" w:type="dxa"/>
            <w:vAlign w:val="center"/>
          </w:tcPr>
          <w:p w14:paraId="71264B9D">
            <w:pPr>
              <w:keepNext w:val="0"/>
              <w:keepLines w:val="0"/>
              <w:widowControl/>
              <w:suppressLineNumbers w:val="0"/>
              <w:jc w:val="left"/>
              <w:textAlignment w:val="center"/>
              <w:rPr>
                <w:rFonts w:hint="eastAsia" w:ascii="仿宋_GB2312" w:hAnsi="仿宋_GB2312" w:eastAsia="仿宋_GB2312" w:cs="仿宋_GB2312"/>
                <w:sz w:val="32"/>
                <w:szCs w:val="32"/>
                <w:vertAlign w:val="baseline"/>
              </w:rPr>
            </w:pPr>
            <w:r>
              <w:rPr>
                <w:rFonts w:hint="eastAsia" w:ascii="仿宋_GB2312" w:hAnsi="仿宋_GB2312" w:eastAsia="仿宋_GB2312" w:cs="仿宋_GB2312"/>
                <w:i w:val="0"/>
                <w:iCs w:val="0"/>
                <w:color w:val="000000"/>
                <w:kern w:val="0"/>
                <w:sz w:val="32"/>
                <w:szCs w:val="32"/>
                <w:u w:val="none"/>
                <w:lang w:val="en-US" w:eastAsia="zh-CN" w:bidi="ar"/>
              </w:rPr>
              <w:t>机关事业单位基本养老保险基金支出</w:t>
            </w:r>
          </w:p>
        </w:tc>
        <w:tc>
          <w:tcPr>
            <w:tcW w:w="1614" w:type="dxa"/>
            <w:vAlign w:val="center"/>
          </w:tcPr>
          <w:p w14:paraId="646B689F">
            <w:pPr>
              <w:keepNext w:val="0"/>
              <w:keepLines w:val="0"/>
              <w:widowControl/>
              <w:suppressLineNumbers w:val="0"/>
              <w:jc w:val="left"/>
              <w:textAlignment w:val="center"/>
              <w:rPr>
                <w:rFonts w:hint="eastAsia" w:ascii="仿宋_GB2312" w:hAnsi="仿宋_GB2312" w:eastAsia="仿宋_GB2312" w:cs="仿宋_GB2312"/>
                <w:sz w:val="32"/>
                <w:szCs w:val="32"/>
                <w:vertAlign w:val="baseline"/>
              </w:rPr>
            </w:pPr>
            <w:r>
              <w:rPr>
                <w:rFonts w:hint="eastAsia" w:ascii="仿宋_GB2312" w:hAnsi="仿宋_GB2312" w:eastAsia="仿宋_GB2312" w:cs="仿宋_GB2312"/>
                <w:i w:val="0"/>
                <w:iCs w:val="0"/>
                <w:color w:val="000000"/>
                <w:kern w:val="0"/>
                <w:sz w:val="32"/>
                <w:szCs w:val="32"/>
                <w:u w:val="none"/>
                <w:lang w:val="en-US" w:eastAsia="zh-CN" w:bidi="ar"/>
              </w:rPr>
              <w:t>43452</w:t>
            </w:r>
          </w:p>
        </w:tc>
      </w:tr>
      <w:tr w14:paraId="40F16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4" w:hRule="atLeast"/>
        </w:trPr>
        <w:tc>
          <w:tcPr>
            <w:tcW w:w="2848" w:type="dxa"/>
            <w:vAlign w:val="center"/>
          </w:tcPr>
          <w:p w14:paraId="1BA50998">
            <w:pPr>
              <w:keepNext w:val="0"/>
              <w:keepLines w:val="0"/>
              <w:widowControl/>
              <w:suppressLineNumbers w:val="0"/>
              <w:jc w:val="left"/>
              <w:textAlignment w:val="center"/>
              <w:rPr>
                <w:rFonts w:hint="eastAsia" w:ascii="仿宋_GB2312" w:hAnsi="仿宋_GB2312" w:eastAsia="仿宋_GB2312" w:cs="仿宋_GB2312"/>
                <w:sz w:val="32"/>
                <w:szCs w:val="32"/>
                <w:vertAlign w:val="baseline"/>
              </w:rPr>
            </w:pPr>
            <w:r>
              <w:rPr>
                <w:rFonts w:hint="eastAsia" w:ascii="仿宋_GB2312" w:hAnsi="仿宋_GB2312" w:eastAsia="仿宋_GB2312" w:cs="仿宋_GB2312"/>
                <w:i w:val="0"/>
                <w:iCs w:val="0"/>
                <w:color w:val="000000"/>
                <w:kern w:val="0"/>
                <w:sz w:val="32"/>
                <w:szCs w:val="32"/>
                <w:u w:val="none"/>
                <w:lang w:val="en-US" w:eastAsia="zh-CN" w:bidi="ar"/>
              </w:rPr>
              <w:t>城乡居民基本养老保险基金收入</w:t>
            </w:r>
          </w:p>
        </w:tc>
        <w:tc>
          <w:tcPr>
            <w:tcW w:w="1591" w:type="dxa"/>
            <w:vAlign w:val="center"/>
          </w:tcPr>
          <w:p w14:paraId="1F638A58">
            <w:pPr>
              <w:keepNext w:val="0"/>
              <w:keepLines w:val="0"/>
              <w:widowControl/>
              <w:suppressLineNumbers w:val="0"/>
              <w:jc w:val="left"/>
              <w:textAlignment w:val="center"/>
              <w:rPr>
                <w:rFonts w:hint="eastAsia" w:ascii="仿宋_GB2312" w:hAnsi="仿宋_GB2312" w:eastAsia="仿宋_GB2312" w:cs="仿宋_GB2312"/>
                <w:sz w:val="32"/>
                <w:szCs w:val="32"/>
                <w:vertAlign w:val="baseline"/>
              </w:rPr>
            </w:pPr>
            <w:r>
              <w:rPr>
                <w:rFonts w:hint="eastAsia" w:ascii="仿宋_GB2312" w:hAnsi="仿宋_GB2312" w:eastAsia="仿宋_GB2312" w:cs="仿宋_GB2312"/>
                <w:i w:val="0"/>
                <w:iCs w:val="0"/>
                <w:color w:val="000000"/>
                <w:kern w:val="0"/>
                <w:sz w:val="32"/>
                <w:szCs w:val="32"/>
                <w:u w:val="none"/>
                <w:lang w:val="en-US" w:eastAsia="zh-CN" w:bidi="ar"/>
              </w:rPr>
              <w:t xml:space="preserve">21307 </w:t>
            </w:r>
          </w:p>
        </w:tc>
        <w:tc>
          <w:tcPr>
            <w:tcW w:w="2826" w:type="dxa"/>
            <w:vAlign w:val="center"/>
          </w:tcPr>
          <w:p w14:paraId="65EE8FF9">
            <w:pPr>
              <w:keepNext w:val="0"/>
              <w:keepLines w:val="0"/>
              <w:widowControl/>
              <w:suppressLineNumbers w:val="0"/>
              <w:jc w:val="left"/>
              <w:textAlignment w:val="center"/>
              <w:rPr>
                <w:rFonts w:hint="eastAsia" w:ascii="仿宋_GB2312" w:hAnsi="仿宋_GB2312" w:eastAsia="仿宋_GB2312" w:cs="仿宋_GB2312"/>
                <w:sz w:val="32"/>
                <w:szCs w:val="32"/>
                <w:vertAlign w:val="baseline"/>
              </w:rPr>
            </w:pPr>
            <w:r>
              <w:rPr>
                <w:rFonts w:hint="eastAsia" w:ascii="仿宋_GB2312" w:hAnsi="仿宋_GB2312" w:eastAsia="仿宋_GB2312" w:cs="仿宋_GB2312"/>
                <w:i w:val="0"/>
                <w:iCs w:val="0"/>
                <w:color w:val="000000"/>
                <w:kern w:val="0"/>
                <w:sz w:val="32"/>
                <w:szCs w:val="32"/>
                <w:u w:val="none"/>
                <w:lang w:val="en-US" w:eastAsia="zh-CN" w:bidi="ar"/>
              </w:rPr>
              <w:t>城乡居民基本养老保险基金支出</w:t>
            </w:r>
          </w:p>
        </w:tc>
        <w:tc>
          <w:tcPr>
            <w:tcW w:w="1614" w:type="dxa"/>
            <w:vAlign w:val="center"/>
          </w:tcPr>
          <w:p w14:paraId="65B0F7FA">
            <w:pPr>
              <w:keepNext w:val="0"/>
              <w:keepLines w:val="0"/>
              <w:widowControl/>
              <w:suppressLineNumbers w:val="0"/>
              <w:jc w:val="left"/>
              <w:textAlignment w:val="center"/>
              <w:rPr>
                <w:rFonts w:hint="eastAsia" w:ascii="仿宋_GB2312" w:hAnsi="仿宋_GB2312" w:eastAsia="仿宋_GB2312" w:cs="仿宋_GB2312"/>
                <w:sz w:val="32"/>
                <w:szCs w:val="32"/>
                <w:vertAlign w:val="baseline"/>
              </w:rPr>
            </w:pPr>
            <w:r>
              <w:rPr>
                <w:rFonts w:hint="eastAsia" w:ascii="仿宋_GB2312" w:hAnsi="仿宋_GB2312" w:eastAsia="仿宋_GB2312" w:cs="仿宋_GB2312"/>
                <w:i w:val="0"/>
                <w:iCs w:val="0"/>
                <w:color w:val="000000"/>
                <w:kern w:val="0"/>
                <w:sz w:val="32"/>
                <w:szCs w:val="32"/>
                <w:u w:val="none"/>
                <w:lang w:val="en-US" w:eastAsia="zh-CN" w:bidi="ar"/>
              </w:rPr>
              <w:t>18001</w:t>
            </w:r>
          </w:p>
        </w:tc>
      </w:tr>
      <w:tr w14:paraId="0A664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5" w:hRule="atLeast"/>
        </w:trPr>
        <w:tc>
          <w:tcPr>
            <w:tcW w:w="2848" w:type="dxa"/>
            <w:vAlign w:val="center"/>
          </w:tcPr>
          <w:p w14:paraId="18F6CBE9">
            <w:pPr>
              <w:keepNext w:val="0"/>
              <w:keepLines w:val="0"/>
              <w:widowControl/>
              <w:suppressLineNumbers w:val="0"/>
              <w:jc w:val="left"/>
              <w:textAlignment w:val="center"/>
              <w:rPr>
                <w:rFonts w:hint="eastAsia" w:ascii="仿宋_GB2312" w:hAnsi="仿宋_GB2312" w:eastAsia="仿宋_GB2312" w:cs="仿宋_GB2312"/>
                <w:sz w:val="32"/>
                <w:szCs w:val="32"/>
                <w:vertAlign w:val="baseline"/>
              </w:rPr>
            </w:pPr>
            <w:r>
              <w:rPr>
                <w:rFonts w:hint="eastAsia" w:ascii="仿宋_GB2312" w:hAnsi="仿宋_GB2312" w:eastAsia="仿宋_GB2312" w:cs="仿宋_GB2312"/>
                <w:i w:val="0"/>
                <w:iCs w:val="0"/>
                <w:color w:val="000000"/>
                <w:kern w:val="0"/>
                <w:sz w:val="32"/>
                <w:szCs w:val="32"/>
                <w:u w:val="none"/>
                <w:lang w:val="en-US" w:eastAsia="zh-CN" w:bidi="ar"/>
              </w:rPr>
              <w:t>其他社会保险基金收入</w:t>
            </w:r>
          </w:p>
        </w:tc>
        <w:tc>
          <w:tcPr>
            <w:tcW w:w="1591" w:type="dxa"/>
            <w:vAlign w:val="center"/>
          </w:tcPr>
          <w:p w14:paraId="4876B062">
            <w:pPr>
              <w:keepNext w:val="0"/>
              <w:keepLines w:val="0"/>
              <w:widowControl/>
              <w:suppressLineNumbers w:val="0"/>
              <w:jc w:val="left"/>
              <w:textAlignment w:val="center"/>
              <w:rPr>
                <w:rFonts w:hint="eastAsia" w:ascii="仿宋_GB2312" w:hAnsi="仿宋_GB2312" w:eastAsia="仿宋_GB2312" w:cs="仿宋_GB2312"/>
                <w:sz w:val="32"/>
                <w:szCs w:val="32"/>
                <w:vertAlign w:val="baseline"/>
              </w:rPr>
            </w:pPr>
            <w:r>
              <w:rPr>
                <w:rFonts w:hint="eastAsia" w:ascii="仿宋_GB2312" w:hAnsi="仿宋_GB2312" w:eastAsia="仿宋_GB2312" w:cs="仿宋_GB2312"/>
                <w:i w:val="0"/>
                <w:iCs w:val="0"/>
                <w:color w:val="000000"/>
                <w:kern w:val="0"/>
                <w:sz w:val="32"/>
                <w:szCs w:val="32"/>
                <w:u w:val="none"/>
                <w:lang w:val="en-US" w:eastAsia="zh-CN" w:bidi="ar"/>
              </w:rPr>
              <w:t xml:space="preserve">1411 </w:t>
            </w:r>
          </w:p>
        </w:tc>
        <w:tc>
          <w:tcPr>
            <w:tcW w:w="2826" w:type="dxa"/>
            <w:vAlign w:val="center"/>
          </w:tcPr>
          <w:p w14:paraId="23402F0A">
            <w:pPr>
              <w:keepNext w:val="0"/>
              <w:keepLines w:val="0"/>
              <w:widowControl/>
              <w:suppressLineNumbers w:val="0"/>
              <w:jc w:val="left"/>
              <w:textAlignment w:val="center"/>
              <w:rPr>
                <w:rFonts w:hint="eastAsia" w:ascii="仿宋_GB2312" w:hAnsi="仿宋_GB2312" w:eastAsia="仿宋_GB2312" w:cs="仿宋_GB2312"/>
                <w:sz w:val="32"/>
                <w:szCs w:val="32"/>
                <w:vertAlign w:val="baseline"/>
              </w:rPr>
            </w:pPr>
            <w:r>
              <w:rPr>
                <w:rFonts w:hint="eastAsia" w:ascii="仿宋_GB2312" w:hAnsi="仿宋_GB2312" w:eastAsia="仿宋_GB2312" w:cs="仿宋_GB2312"/>
                <w:i w:val="0"/>
                <w:iCs w:val="0"/>
                <w:color w:val="000000"/>
                <w:kern w:val="0"/>
                <w:sz w:val="32"/>
                <w:szCs w:val="32"/>
                <w:u w:val="none"/>
                <w:lang w:val="en-US" w:eastAsia="zh-CN" w:bidi="ar"/>
              </w:rPr>
              <w:t>其他社会保险基金支出</w:t>
            </w:r>
          </w:p>
        </w:tc>
        <w:tc>
          <w:tcPr>
            <w:tcW w:w="1614" w:type="dxa"/>
            <w:vAlign w:val="center"/>
          </w:tcPr>
          <w:p w14:paraId="04E97D8A">
            <w:pPr>
              <w:keepNext w:val="0"/>
              <w:keepLines w:val="0"/>
              <w:widowControl/>
              <w:suppressLineNumbers w:val="0"/>
              <w:jc w:val="left"/>
              <w:textAlignment w:val="center"/>
              <w:rPr>
                <w:rFonts w:hint="eastAsia" w:ascii="仿宋_GB2312" w:hAnsi="仿宋_GB2312" w:eastAsia="仿宋_GB2312" w:cs="仿宋_GB2312"/>
                <w:sz w:val="32"/>
                <w:szCs w:val="32"/>
                <w:vertAlign w:val="baseline"/>
              </w:rPr>
            </w:pPr>
            <w:r>
              <w:rPr>
                <w:rFonts w:hint="eastAsia" w:ascii="仿宋_GB2312" w:hAnsi="仿宋_GB2312" w:eastAsia="仿宋_GB2312" w:cs="仿宋_GB2312"/>
                <w:i w:val="0"/>
                <w:iCs w:val="0"/>
                <w:color w:val="000000"/>
                <w:kern w:val="0"/>
                <w:sz w:val="32"/>
                <w:szCs w:val="32"/>
                <w:u w:val="none"/>
                <w:lang w:val="en-US" w:eastAsia="zh-CN" w:bidi="ar"/>
              </w:rPr>
              <w:t>1327</w:t>
            </w:r>
          </w:p>
        </w:tc>
      </w:tr>
      <w:tr w14:paraId="4CF36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2848" w:type="dxa"/>
            <w:shd w:val="clear" w:color="auto" w:fill="auto"/>
            <w:vAlign w:val="center"/>
          </w:tcPr>
          <w:p w14:paraId="48F1DAEE">
            <w:pPr>
              <w:keepNext w:val="0"/>
              <w:keepLines w:val="0"/>
              <w:widowControl/>
              <w:suppressLineNumbers w:val="0"/>
              <w:jc w:val="left"/>
              <w:textAlignment w:val="center"/>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i w:val="0"/>
                <w:iCs w:val="0"/>
                <w:color w:val="000000"/>
                <w:kern w:val="0"/>
                <w:sz w:val="32"/>
                <w:szCs w:val="32"/>
                <w:u w:val="none"/>
                <w:lang w:val="en-US" w:eastAsia="zh-CN" w:bidi="ar"/>
              </w:rPr>
              <w:t>社保基金预算收入合计</w:t>
            </w:r>
          </w:p>
        </w:tc>
        <w:tc>
          <w:tcPr>
            <w:tcW w:w="1591" w:type="dxa"/>
            <w:shd w:val="clear" w:color="auto" w:fill="auto"/>
            <w:vAlign w:val="center"/>
          </w:tcPr>
          <w:p w14:paraId="1DBE69A4">
            <w:pPr>
              <w:keepNext w:val="0"/>
              <w:keepLines w:val="0"/>
              <w:widowControl/>
              <w:suppressLineNumbers w:val="0"/>
              <w:jc w:val="left"/>
              <w:textAlignment w:val="center"/>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i w:val="0"/>
                <w:iCs w:val="0"/>
                <w:color w:val="000000"/>
                <w:kern w:val="0"/>
                <w:sz w:val="32"/>
                <w:szCs w:val="32"/>
                <w:u w:val="none"/>
                <w:lang w:val="en-US" w:eastAsia="zh-CN" w:bidi="ar"/>
              </w:rPr>
              <w:t>64500</w:t>
            </w:r>
          </w:p>
        </w:tc>
        <w:tc>
          <w:tcPr>
            <w:tcW w:w="2826" w:type="dxa"/>
            <w:shd w:val="clear" w:color="auto" w:fill="auto"/>
            <w:vAlign w:val="center"/>
          </w:tcPr>
          <w:p w14:paraId="4539D1EF">
            <w:pPr>
              <w:keepNext w:val="0"/>
              <w:keepLines w:val="0"/>
              <w:widowControl/>
              <w:suppressLineNumbers w:val="0"/>
              <w:jc w:val="left"/>
              <w:textAlignment w:val="center"/>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i w:val="0"/>
                <w:iCs w:val="0"/>
                <w:color w:val="000000"/>
                <w:kern w:val="0"/>
                <w:sz w:val="32"/>
                <w:szCs w:val="32"/>
                <w:u w:val="none"/>
                <w:lang w:val="en-US" w:eastAsia="zh-CN" w:bidi="ar"/>
              </w:rPr>
              <w:t>社保基金预算收入合计</w:t>
            </w:r>
          </w:p>
        </w:tc>
        <w:tc>
          <w:tcPr>
            <w:tcW w:w="1614" w:type="dxa"/>
            <w:shd w:val="clear" w:color="auto" w:fill="auto"/>
            <w:vAlign w:val="center"/>
          </w:tcPr>
          <w:p w14:paraId="70FE50E7">
            <w:pPr>
              <w:keepNext w:val="0"/>
              <w:keepLines w:val="0"/>
              <w:widowControl/>
              <w:suppressLineNumbers w:val="0"/>
              <w:jc w:val="left"/>
              <w:textAlignment w:val="center"/>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i w:val="0"/>
                <w:iCs w:val="0"/>
                <w:color w:val="000000"/>
                <w:kern w:val="0"/>
                <w:sz w:val="32"/>
                <w:szCs w:val="32"/>
                <w:u w:val="none"/>
                <w:lang w:val="en-US" w:eastAsia="zh-CN" w:bidi="ar"/>
              </w:rPr>
              <w:t>62780</w:t>
            </w:r>
          </w:p>
        </w:tc>
      </w:tr>
      <w:tr w14:paraId="0C0B0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5" w:hRule="atLeast"/>
        </w:trPr>
        <w:tc>
          <w:tcPr>
            <w:tcW w:w="2848" w:type="dxa"/>
            <w:shd w:val="clear" w:color="auto" w:fill="auto"/>
            <w:vAlign w:val="center"/>
          </w:tcPr>
          <w:p w14:paraId="321C526D">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32"/>
                <w:szCs w:val="32"/>
                <w:u w:val="none"/>
                <w:lang w:val="en-US" w:eastAsia="zh-CN" w:bidi="ar"/>
              </w:rPr>
            </w:pPr>
          </w:p>
        </w:tc>
        <w:tc>
          <w:tcPr>
            <w:tcW w:w="1591" w:type="dxa"/>
            <w:shd w:val="clear" w:color="auto" w:fill="auto"/>
            <w:vAlign w:val="center"/>
          </w:tcPr>
          <w:p w14:paraId="27939FF5">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32"/>
                <w:szCs w:val="32"/>
                <w:u w:val="none"/>
                <w:lang w:val="en-US" w:eastAsia="zh-CN" w:bidi="ar"/>
              </w:rPr>
            </w:pPr>
          </w:p>
        </w:tc>
        <w:tc>
          <w:tcPr>
            <w:tcW w:w="2826" w:type="dxa"/>
            <w:shd w:val="clear" w:color="auto" w:fill="auto"/>
            <w:vAlign w:val="center"/>
          </w:tcPr>
          <w:p w14:paraId="113B7118">
            <w:pPr>
              <w:keepNext w:val="0"/>
              <w:keepLines w:val="0"/>
              <w:widowControl/>
              <w:suppressLineNumbers w:val="0"/>
              <w:jc w:val="left"/>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当年收支结余预算数</w:t>
            </w:r>
          </w:p>
        </w:tc>
        <w:tc>
          <w:tcPr>
            <w:tcW w:w="1614" w:type="dxa"/>
            <w:shd w:val="clear" w:color="auto" w:fill="auto"/>
            <w:vAlign w:val="center"/>
          </w:tcPr>
          <w:p w14:paraId="34089B53">
            <w:pPr>
              <w:keepNext w:val="0"/>
              <w:keepLines w:val="0"/>
              <w:widowControl/>
              <w:suppressLineNumbers w:val="0"/>
              <w:jc w:val="left"/>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1720</w:t>
            </w:r>
          </w:p>
        </w:tc>
      </w:tr>
      <w:tr w14:paraId="7979C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5" w:hRule="atLeast"/>
        </w:trPr>
        <w:tc>
          <w:tcPr>
            <w:tcW w:w="2848" w:type="dxa"/>
            <w:shd w:val="clear" w:color="auto" w:fill="auto"/>
            <w:vAlign w:val="center"/>
          </w:tcPr>
          <w:p w14:paraId="53F7B347">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社保基金预算收入总计</w:t>
            </w:r>
          </w:p>
        </w:tc>
        <w:tc>
          <w:tcPr>
            <w:tcW w:w="1591" w:type="dxa"/>
            <w:shd w:val="clear" w:color="auto" w:fill="auto"/>
            <w:vAlign w:val="center"/>
          </w:tcPr>
          <w:p w14:paraId="1DB7889C">
            <w:pPr>
              <w:keepNext w:val="0"/>
              <w:keepLines w:val="0"/>
              <w:widowControl/>
              <w:suppressLineNumbers w:val="0"/>
              <w:jc w:val="left"/>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64500</w:t>
            </w:r>
          </w:p>
        </w:tc>
        <w:tc>
          <w:tcPr>
            <w:tcW w:w="2826" w:type="dxa"/>
            <w:shd w:val="clear" w:color="auto" w:fill="auto"/>
            <w:vAlign w:val="center"/>
          </w:tcPr>
          <w:p w14:paraId="72B603A0">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社保基金预算收入总计</w:t>
            </w:r>
          </w:p>
        </w:tc>
        <w:tc>
          <w:tcPr>
            <w:tcW w:w="1614" w:type="dxa"/>
            <w:shd w:val="clear" w:color="auto" w:fill="auto"/>
            <w:vAlign w:val="center"/>
          </w:tcPr>
          <w:p w14:paraId="32CDD467">
            <w:pPr>
              <w:keepNext w:val="0"/>
              <w:keepLines w:val="0"/>
              <w:widowControl/>
              <w:suppressLineNumbers w:val="0"/>
              <w:jc w:val="left"/>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64500</w:t>
            </w:r>
          </w:p>
        </w:tc>
      </w:tr>
    </w:tbl>
    <w:p w14:paraId="35B18001">
      <w:pPr>
        <w:keepNext w:val="0"/>
        <w:keepLines w:val="0"/>
        <w:pageBreakBefore w:val="0"/>
        <w:widowControl w:val="0"/>
        <w:kinsoku/>
        <w:wordWrap/>
        <w:overflowPunct/>
        <w:topLinePunct w:val="0"/>
        <w:autoSpaceDE/>
        <w:autoSpaceDN/>
        <w:bidi w:val="0"/>
        <w:adjustRightInd w:val="0"/>
        <w:snapToGrid w:val="0"/>
        <w:spacing w:line="660" w:lineRule="exact"/>
        <w:textAlignment w:val="auto"/>
        <w:rPr>
          <w:rFonts w:hint="eastAsia" w:ascii="方正大标宋简体" w:hAnsi="宋体" w:eastAsia="仿宋_GB2312" w:cs="宋体"/>
          <w:bCs/>
          <w:sz w:val="32"/>
          <w:szCs w:val="32"/>
          <w:lang w:eastAsia="zh-CN"/>
        </w:rPr>
      </w:pPr>
      <w:r>
        <w:rPr>
          <w:rFonts w:hint="eastAsia" w:ascii="仿宋_GB2312" w:hAnsi="仿宋_GB2312" w:eastAsia="仿宋_GB2312" w:cs="仿宋_GB2312"/>
          <w:sz w:val="32"/>
          <w:szCs w:val="32"/>
        </w:rPr>
        <w:t>附表</w:t>
      </w:r>
      <w:r>
        <w:rPr>
          <w:rFonts w:hint="eastAsia" w:ascii="仿宋_GB2312" w:hAnsi="仿宋_GB2312" w:eastAsia="仿宋_GB2312" w:cs="仿宋_GB2312"/>
          <w:sz w:val="32"/>
          <w:szCs w:val="32"/>
          <w:lang w:eastAsia="zh-CN"/>
        </w:rPr>
        <w:t>十</w:t>
      </w:r>
    </w:p>
    <w:p w14:paraId="72F3E17A">
      <w:pPr>
        <w:keepNext w:val="0"/>
        <w:keepLines w:val="0"/>
        <w:pageBreakBefore w:val="0"/>
        <w:widowControl w:val="0"/>
        <w:kinsoku/>
        <w:wordWrap/>
        <w:overflowPunct/>
        <w:topLinePunct w:val="0"/>
        <w:autoSpaceDE/>
        <w:autoSpaceDN/>
        <w:bidi w:val="0"/>
        <w:adjustRightInd w:val="0"/>
        <w:snapToGrid w:val="0"/>
        <w:spacing w:line="660" w:lineRule="exact"/>
        <w:jc w:val="center"/>
        <w:textAlignment w:val="auto"/>
        <w:rPr>
          <w:rFonts w:hint="eastAsia" w:ascii="黑体" w:hAnsi="黑体" w:eastAsia="黑体" w:cs="黑体"/>
          <w:bCs/>
          <w:sz w:val="40"/>
          <w:szCs w:val="40"/>
        </w:rPr>
      </w:pPr>
      <w:r>
        <w:rPr>
          <w:rFonts w:hint="eastAsia" w:ascii="黑体" w:hAnsi="黑体" w:eastAsia="黑体" w:cs="黑体"/>
          <w:bCs/>
          <w:sz w:val="40"/>
          <w:szCs w:val="40"/>
        </w:rPr>
        <w:t>西峡县202</w:t>
      </w:r>
      <w:r>
        <w:rPr>
          <w:rFonts w:hint="eastAsia" w:ascii="黑体" w:hAnsi="黑体" w:eastAsia="黑体" w:cs="黑体"/>
          <w:bCs/>
          <w:sz w:val="40"/>
          <w:szCs w:val="40"/>
          <w:lang w:val="en-US" w:eastAsia="zh-CN"/>
        </w:rPr>
        <w:t>6</w:t>
      </w:r>
      <w:r>
        <w:rPr>
          <w:rFonts w:hint="eastAsia" w:ascii="黑体" w:hAnsi="黑体" w:eastAsia="黑体" w:cs="黑体"/>
          <w:bCs/>
          <w:sz w:val="40"/>
          <w:szCs w:val="40"/>
        </w:rPr>
        <w:t>年国有资本经营收支预算总表</w:t>
      </w:r>
    </w:p>
    <w:p w14:paraId="3E8D56FA">
      <w:pPr>
        <w:keepNext w:val="0"/>
        <w:keepLines w:val="0"/>
        <w:pageBreakBefore w:val="0"/>
        <w:widowControl w:val="0"/>
        <w:kinsoku/>
        <w:wordWrap/>
        <w:overflowPunct/>
        <w:topLinePunct w:val="0"/>
        <w:autoSpaceDE/>
        <w:autoSpaceDN/>
        <w:bidi w:val="0"/>
        <w:adjustRightInd w:val="0"/>
        <w:snapToGrid w:val="0"/>
        <w:spacing w:line="660" w:lineRule="exact"/>
        <w:ind w:firstLine="7040" w:firstLineChars="2200"/>
        <w:textAlignment w:val="auto"/>
        <w:rPr>
          <w:rFonts w:ascii="仿宋_GB2312" w:hAnsi="仿宋" w:eastAsia="仿宋_GB2312" w:cs="仿宋"/>
          <w:sz w:val="32"/>
          <w:szCs w:val="32"/>
        </w:rPr>
      </w:pPr>
      <w:r>
        <w:rPr>
          <w:rFonts w:hint="eastAsia" w:ascii="仿宋_GB2312" w:hAnsi="仿宋" w:eastAsia="仿宋_GB2312" w:cs="仿宋"/>
          <w:sz w:val="32"/>
          <w:szCs w:val="32"/>
        </w:rPr>
        <w:t>单位</w:t>
      </w:r>
      <w:r>
        <w:rPr>
          <w:rFonts w:ascii="仿宋_GB2312" w:hAnsi="仿宋" w:eastAsia="仿宋_GB2312" w:cs="仿宋"/>
          <w:sz w:val="32"/>
          <w:szCs w:val="32"/>
        </w:rPr>
        <w:t>:</w:t>
      </w:r>
      <w:r>
        <w:rPr>
          <w:rFonts w:hint="eastAsia" w:ascii="仿宋_GB2312" w:hAnsi="仿宋" w:eastAsia="仿宋_GB2312" w:cs="仿宋"/>
          <w:sz w:val="32"/>
          <w:szCs w:val="32"/>
        </w:rPr>
        <w:t>万元</w:t>
      </w:r>
    </w:p>
    <w:tbl>
      <w:tblPr>
        <w:tblStyle w:val="13"/>
        <w:tblW w:w="873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8"/>
        <w:gridCol w:w="1211"/>
        <w:gridCol w:w="3309"/>
        <w:gridCol w:w="1270"/>
      </w:tblGrid>
      <w:tr w14:paraId="59280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2948" w:type="dxa"/>
            <w:vAlign w:val="center"/>
          </w:tcPr>
          <w:p w14:paraId="3718EF45">
            <w:pPr>
              <w:adjustRightInd w:val="0"/>
              <w:snapToGrid w:val="0"/>
              <w:jc w:val="center"/>
              <w:rPr>
                <w:rFonts w:ascii="黑体" w:hAnsi="仿宋" w:eastAsia="黑体" w:cs="仿宋"/>
                <w:bCs/>
                <w:sz w:val="28"/>
                <w:szCs w:val="28"/>
              </w:rPr>
            </w:pPr>
            <w:r>
              <w:rPr>
                <w:rFonts w:hint="eastAsia" w:ascii="黑体" w:hAnsi="仿宋" w:eastAsia="黑体" w:cs="仿宋"/>
                <w:bCs/>
                <w:sz w:val="28"/>
                <w:szCs w:val="28"/>
              </w:rPr>
              <w:t>预算科目</w:t>
            </w:r>
          </w:p>
        </w:tc>
        <w:tc>
          <w:tcPr>
            <w:tcW w:w="1211" w:type="dxa"/>
            <w:vAlign w:val="center"/>
          </w:tcPr>
          <w:p w14:paraId="73624B43">
            <w:pPr>
              <w:adjustRightInd w:val="0"/>
              <w:snapToGrid w:val="0"/>
              <w:jc w:val="center"/>
              <w:rPr>
                <w:rFonts w:ascii="黑体" w:hAnsi="仿宋" w:eastAsia="黑体" w:cs="仿宋"/>
                <w:bCs/>
                <w:sz w:val="28"/>
                <w:szCs w:val="28"/>
              </w:rPr>
            </w:pPr>
            <w:r>
              <w:rPr>
                <w:rFonts w:hint="eastAsia" w:ascii="黑体" w:hAnsi="仿宋" w:eastAsia="黑体" w:cs="仿宋"/>
                <w:bCs/>
                <w:sz w:val="28"/>
                <w:szCs w:val="28"/>
              </w:rPr>
              <w:t>预算数</w:t>
            </w:r>
          </w:p>
        </w:tc>
        <w:tc>
          <w:tcPr>
            <w:tcW w:w="3309" w:type="dxa"/>
            <w:vAlign w:val="center"/>
          </w:tcPr>
          <w:p w14:paraId="48417F40">
            <w:pPr>
              <w:adjustRightInd w:val="0"/>
              <w:snapToGrid w:val="0"/>
              <w:jc w:val="center"/>
              <w:rPr>
                <w:rFonts w:ascii="黑体" w:hAnsi="仿宋" w:eastAsia="黑体" w:cs="仿宋"/>
                <w:bCs/>
                <w:sz w:val="28"/>
                <w:szCs w:val="28"/>
              </w:rPr>
            </w:pPr>
            <w:r>
              <w:rPr>
                <w:rFonts w:hint="eastAsia" w:ascii="黑体" w:hAnsi="仿宋" w:eastAsia="黑体" w:cs="仿宋"/>
                <w:bCs/>
                <w:sz w:val="28"/>
                <w:szCs w:val="28"/>
              </w:rPr>
              <w:t>预算科目</w:t>
            </w:r>
          </w:p>
        </w:tc>
        <w:tc>
          <w:tcPr>
            <w:tcW w:w="1270" w:type="dxa"/>
            <w:vAlign w:val="center"/>
          </w:tcPr>
          <w:p w14:paraId="75ECCD43">
            <w:pPr>
              <w:adjustRightInd w:val="0"/>
              <w:snapToGrid w:val="0"/>
              <w:jc w:val="center"/>
              <w:rPr>
                <w:rFonts w:ascii="黑体" w:hAnsi="仿宋" w:eastAsia="黑体" w:cs="仿宋"/>
                <w:bCs/>
                <w:sz w:val="28"/>
                <w:szCs w:val="28"/>
              </w:rPr>
            </w:pPr>
            <w:r>
              <w:rPr>
                <w:rFonts w:hint="eastAsia" w:ascii="黑体" w:hAnsi="仿宋" w:eastAsia="黑体" w:cs="仿宋"/>
                <w:bCs/>
                <w:sz w:val="28"/>
                <w:szCs w:val="28"/>
              </w:rPr>
              <w:t>预算数</w:t>
            </w:r>
          </w:p>
        </w:tc>
      </w:tr>
      <w:tr w14:paraId="1EC5C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2948" w:type="dxa"/>
            <w:vAlign w:val="center"/>
          </w:tcPr>
          <w:p w14:paraId="4E46A718">
            <w:pPr>
              <w:adjustRightInd w:val="0"/>
              <w:snapToGrid w:val="0"/>
              <w:rPr>
                <w:rFonts w:ascii="仿宋_GB2312" w:hAnsi="仿宋" w:eastAsia="仿宋_GB2312" w:cs="仿宋"/>
                <w:bCs/>
                <w:sz w:val="32"/>
                <w:szCs w:val="32"/>
              </w:rPr>
            </w:pPr>
            <w:r>
              <w:rPr>
                <w:rFonts w:hint="eastAsia" w:ascii="仿宋_GB2312" w:hAnsi="仿宋" w:eastAsia="仿宋_GB2312" w:cs="仿宋"/>
                <w:bCs/>
                <w:sz w:val="32"/>
                <w:szCs w:val="32"/>
              </w:rPr>
              <w:t>国有资本经营收入</w:t>
            </w:r>
          </w:p>
        </w:tc>
        <w:tc>
          <w:tcPr>
            <w:tcW w:w="1211" w:type="dxa"/>
            <w:vAlign w:val="center"/>
          </w:tcPr>
          <w:p w14:paraId="438B3C1A">
            <w:pPr>
              <w:adjustRightInd w:val="0"/>
              <w:snapToGrid w:val="0"/>
              <w:rPr>
                <w:rFonts w:ascii="仿宋_GB2312" w:hAnsi="仿宋" w:eastAsia="仿宋_GB2312" w:cs="仿宋"/>
                <w:bCs/>
                <w:sz w:val="32"/>
                <w:szCs w:val="32"/>
              </w:rPr>
            </w:pPr>
            <w:r>
              <w:rPr>
                <w:rFonts w:hint="eastAsia" w:ascii="仿宋_GB2312" w:hAnsi="仿宋" w:eastAsia="仿宋_GB2312" w:cs="仿宋"/>
                <w:bCs/>
                <w:sz w:val="32"/>
                <w:szCs w:val="32"/>
              </w:rPr>
              <w:t>1</w:t>
            </w:r>
            <w:r>
              <w:rPr>
                <w:rFonts w:hint="eastAsia" w:ascii="仿宋_GB2312" w:hAnsi="仿宋" w:eastAsia="仿宋_GB2312" w:cs="仿宋"/>
                <w:bCs/>
                <w:sz w:val="32"/>
                <w:szCs w:val="32"/>
                <w:lang w:val="en-US" w:eastAsia="zh-CN"/>
              </w:rPr>
              <w:t>2</w:t>
            </w:r>
            <w:r>
              <w:rPr>
                <w:rFonts w:hint="eastAsia" w:ascii="仿宋_GB2312" w:hAnsi="仿宋" w:eastAsia="仿宋_GB2312" w:cs="仿宋"/>
                <w:bCs/>
                <w:sz w:val="32"/>
                <w:szCs w:val="32"/>
              </w:rPr>
              <w:t>000</w:t>
            </w:r>
          </w:p>
        </w:tc>
        <w:tc>
          <w:tcPr>
            <w:tcW w:w="3309" w:type="dxa"/>
            <w:vAlign w:val="center"/>
          </w:tcPr>
          <w:p w14:paraId="12656221">
            <w:pPr>
              <w:adjustRightInd w:val="0"/>
              <w:snapToGrid w:val="0"/>
              <w:rPr>
                <w:rFonts w:ascii="仿宋_GB2312" w:hAnsi="仿宋" w:eastAsia="仿宋_GB2312" w:cs="仿宋"/>
                <w:sz w:val="32"/>
                <w:szCs w:val="32"/>
              </w:rPr>
            </w:pPr>
            <w:r>
              <w:rPr>
                <w:rFonts w:hint="eastAsia" w:ascii="仿宋_GB2312" w:hAnsi="仿宋" w:eastAsia="仿宋_GB2312" w:cs="仿宋"/>
                <w:sz w:val="32"/>
                <w:szCs w:val="32"/>
              </w:rPr>
              <w:t>国有资本经营预算支出</w:t>
            </w:r>
          </w:p>
        </w:tc>
        <w:tc>
          <w:tcPr>
            <w:tcW w:w="1270" w:type="dxa"/>
            <w:vAlign w:val="center"/>
          </w:tcPr>
          <w:p w14:paraId="2D33DCC5">
            <w:pPr>
              <w:adjustRightInd w:val="0"/>
              <w:snapToGrid w:val="0"/>
              <w:rPr>
                <w:rFonts w:ascii="仿宋_GB2312" w:hAnsi="仿宋" w:eastAsia="仿宋_GB2312" w:cs="仿宋"/>
                <w:bCs/>
                <w:sz w:val="32"/>
                <w:szCs w:val="32"/>
              </w:rPr>
            </w:pPr>
            <w:r>
              <w:rPr>
                <w:rFonts w:hint="eastAsia" w:ascii="仿宋_GB2312" w:hAnsi="仿宋" w:eastAsia="仿宋_GB2312" w:cs="仿宋"/>
                <w:bCs/>
                <w:sz w:val="32"/>
                <w:szCs w:val="32"/>
              </w:rPr>
              <w:t>20</w:t>
            </w:r>
          </w:p>
        </w:tc>
      </w:tr>
      <w:tr w14:paraId="2F89A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2948" w:type="dxa"/>
            <w:vAlign w:val="center"/>
          </w:tcPr>
          <w:p w14:paraId="44525188">
            <w:pPr>
              <w:adjustRightInd w:val="0"/>
              <w:snapToGrid w:val="0"/>
              <w:ind w:firstLine="320" w:firstLineChars="100"/>
              <w:rPr>
                <w:rFonts w:hint="eastAsia" w:ascii="仿宋_GB2312" w:hAnsi="仿宋" w:eastAsia="仿宋_GB2312" w:cs="仿宋"/>
                <w:bCs/>
                <w:sz w:val="32"/>
                <w:szCs w:val="32"/>
                <w:lang w:val="en-US" w:eastAsia="zh-CN"/>
              </w:rPr>
            </w:pPr>
            <w:r>
              <w:rPr>
                <w:rFonts w:hint="eastAsia" w:ascii="仿宋_GB2312" w:hAnsi="仿宋" w:eastAsia="仿宋_GB2312" w:cs="仿宋"/>
                <w:bCs/>
                <w:sz w:val="32"/>
                <w:szCs w:val="32"/>
                <w:lang w:val="en-US" w:eastAsia="zh-CN"/>
              </w:rPr>
              <w:t>其中：其他国有资本经营预算</w:t>
            </w:r>
            <w:r>
              <w:rPr>
                <w:rFonts w:hint="eastAsia" w:ascii="仿宋_GB2312" w:hAnsi="仿宋" w:eastAsia="仿宋_GB2312" w:cs="仿宋"/>
                <w:bCs/>
                <w:sz w:val="32"/>
                <w:szCs w:val="32"/>
              </w:rPr>
              <w:t>收入</w:t>
            </w:r>
          </w:p>
        </w:tc>
        <w:tc>
          <w:tcPr>
            <w:tcW w:w="1211" w:type="dxa"/>
            <w:vAlign w:val="center"/>
          </w:tcPr>
          <w:p w14:paraId="6A434D78">
            <w:pPr>
              <w:adjustRightInd w:val="0"/>
              <w:snapToGrid w:val="0"/>
              <w:rPr>
                <w:rFonts w:ascii="仿宋_GB2312" w:hAnsi="仿宋" w:eastAsia="仿宋_GB2312" w:cs="仿宋"/>
                <w:bCs/>
                <w:sz w:val="32"/>
                <w:szCs w:val="32"/>
              </w:rPr>
            </w:pPr>
            <w:r>
              <w:rPr>
                <w:rFonts w:hint="eastAsia" w:ascii="仿宋_GB2312" w:hAnsi="仿宋" w:eastAsia="仿宋_GB2312" w:cs="仿宋"/>
                <w:bCs/>
                <w:sz w:val="32"/>
                <w:szCs w:val="32"/>
              </w:rPr>
              <w:t>1</w:t>
            </w:r>
            <w:r>
              <w:rPr>
                <w:rFonts w:hint="eastAsia" w:ascii="仿宋_GB2312" w:hAnsi="仿宋" w:eastAsia="仿宋_GB2312" w:cs="仿宋"/>
                <w:bCs/>
                <w:sz w:val="32"/>
                <w:szCs w:val="32"/>
                <w:lang w:val="en-US" w:eastAsia="zh-CN"/>
              </w:rPr>
              <w:t>2</w:t>
            </w:r>
            <w:r>
              <w:rPr>
                <w:rFonts w:hint="eastAsia" w:ascii="仿宋_GB2312" w:hAnsi="仿宋" w:eastAsia="仿宋_GB2312" w:cs="仿宋"/>
                <w:bCs/>
                <w:sz w:val="32"/>
                <w:szCs w:val="32"/>
              </w:rPr>
              <w:t>000</w:t>
            </w:r>
          </w:p>
        </w:tc>
        <w:tc>
          <w:tcPr>
            <w:tcW w:w="3309" w:type="dxa"/>
            <w:vAlign w:val="center"/>
          </w:tcPr>
          <w:p w14:paraId="709F9DE5">
            <w:pPr>
              <w:adjustRightInd w:val="0"/>
              <w:snapToGrid w:val="0"/>
              <w:ind w:firstLine="320" w:firstLineChars="100"/>
              <w:rPr>
                <w:rFonts w:ascii="仿宋_GB2312" w:hAnsi="仿宋" w:eastAsia="仿宋_GB2312" w:cs="仿宋"/>
                <w:sz w:val="32"/>
                <w:szCs w:val="32"/>
              </w:rPr>
            </w:pPr>
            <w:r>
              <w:rPr>
                <w:rFonts w:hint="eastAsia" w:ascii="仿宋_GB2312" w:hAnsi="仿宋" w:eastAsia="仿宋_GB2312" w:cs="仿宋"/>
                <w:bCs/>
                <w:sz w:val="32"/>
                <w:szCs w:val="32"/>
                <w:lang w:val="en-US" w:eastAsia="zh-CN"/>
              </w:rPr>
              <w:t>其中：</w:t>
            </w:r>
            <w:r>
              <w:rPr>
                <w:rFonts w:hint="eastAsia" w:ascii="仿宋_GB2312" w:hAnsi="仿宋" w:eastAsia="仿宋_GB2312" w:cs="仿宋"/>
                <w:sz w:val="32"/>
                <w:szCs w:val="32"/>
              </w:rPr>
              <w:t>国有企业退休人员社会化管理补助支出</w:t>
            </w:r>
          </w:p>
        </w:tc>
        <w:tc>
          <w:tcPr>
            <w:tcW w:w="1270" w:type="dxa"/>
            <w:vAlign w:val="center"/>
          </w:tcPr>
          <w:p w14:paraId="7DBE573A">
            <w:pPr>
              <w:adjustRightInd w:val="0"/>
              <w:snapToGrid w:val="0"/>
              <w:rPr>
                <w:rFonts w:ascii="仿宋_GB2312" w:hAnsi="仿宋" w:eastAsia="仿宋_GB2312" w:cs="仿宋"/>
                <w:bCs/>
                <w:sz w:val="32"/>
                <w:szCs w:val="32"/>
              </w:rPr>
            </w:pPr>
            <w:r>
              <w:rPr>
                <w:rFonts w:hint="eastAsia" w:ascii="仿宋_GB2312" w:hAnsi="仿宋" w:eastAsia="仿宋_GB2312" w:cs="仿宋"/>
                <w:bCs/>
                <w:sz w:val="32"/>
                <w:szCs w:val="32"/>
              </w:rPr>
              <w:t>20</w:t>
            </w:r>
          </w:p>
        </w:tc>
      </w:tr>
      <w:tr w14:paraId="79A7A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2948" w:type="dxa"/>
            <w:vAlign w:val="center"/>
          </w:tcPr>
          <w:p w14:paraId="327131DE">
            <w:pPr>
              <w:adjustRightInd w:val="0"/>
              <w:snapToGrid w:val="0"/>
              <w:rPr>
                <w:rFonts w:ascii="仿宋_GB2312" w:hAnsi="仿宋" w:eastAsia="仿宋_GB2312" w:cs="仿宋"/>
                <w:b/>
                <w:bCs/>
                <w:sz w:val="32"/>
                <w:szCs w:val="32"/>
              </w:rPr>
            </w:pPr>
            <w:r>
              <w:rPr>
                <w:rFonts w:hint="eastAsia" w:ascii="仿宋_GB2312" w:hAnsi="仿宋" w:eastAsia="仿宋_GB2312" w:cs="仿宋"/>
                <w:b/>
                <w:bCs/>
                <w:sz w:val="32"/>
                <w:szCs w:val="32"/>
              </w:rPr>
              <w:t>本年收入合计</w:t>
            </w:r>
          </w:p>
        </w:tc>
        <w:tc>
          <w:tcPr>
            <w:tcW w:w="1211" w:type="dxa"/>
            <w:vAlign w:val="center"/>
          </w:tcPr>
          <w:p w14:paraId="34F853FE">
            <w:pPr>
              <w:adjustRightInd w:val="0"/>
              <w:snapToGrid w:val="0"/>
              <w:rPr>
                <w:rFonts w:ascii="仿宋_GB2312" w:hAnsi="仿宋" w:eastAsia="仿宋_GB2312" w:cs="仿宋"/>
                <w:b/>
                <w:bCs/>
                <w:sz w:val="32"/>
                <w:szCs w:val="32"/>
              </w:rPr>
            </w:pPr>
            <w:r>
              <w:rPr>
                <w:rFonts w:hint="eastAsia" w:ascii="仿宋_GB2312" w:hAnsi="仿宋" w:eastAsia="仿宋_GB2312" w:cs="仿宋"/>
                <w:b/>
                <w:bCs/>
                <w:sz w:val="32"/>
                <w:szCs w:val="32"/>
              </w:rPr>
              <w:t>1</w:t>
            </w:r>
            <w:r>
              <w:rPr>
                <w:rFonts w:hint="eastAsia" w:ascii="仿宋_GB2312" w:hAnsi="仿宋" w:eastAsia="仿宋_GB2312" w:cs="仿宋"/>
                <w:b/>
                <w:bCs/>
                <w:sz w:val="32"/>
                <w:szCs w:val="32"/>
                <w:lang w:val="en-US" w:eastAsia="zh-CN"/>
              </w:rPr>
              <w:t>2</w:t>
            </w:r>
            <w:r>
              <w:rPr>
                <w:rFonts w:hint="eastAsia" w:ascii="仿宋_GB2312" w:hAnsi="仿宋" w:eastAsia="仿宋_GB2312" w:cs="仿宋"/>
                <w:b/>
                <w:bCs/>
                <w:sz w:val="32"/>
                <w:szCs w:val="32"/>
              </w:rPr>
              <w:t>000</w:t>
            </w:r>
          </w:p>
        </w:tc>
        <w:tc>
          <w:tcPr>
            <w:tcW w:w="3309" w:type="dxa"/>
            <w:vAlign w:val="center"/>
          </w:tcPr>
          <w:p w14:paraId="0F0C5D19">
            <w:pPr>
              <w:adjustRightInd w:val="0"/>
              <w:snapToGrid w:val="0"/>
              <w:rPr>
                <w:rFonts w:ascii="仿宋_GB2312" w:hAnsi="仿宋" w:eastAsia="仿宋_GB2312" w:cs="仿宋"/>
                <w:b/>
                <w:sz w:val="32"/>
                <w:szCs w:val="32"/>
              </w:rPr>
            </w:pPr>
            <w:r>
              <w:rPr>
                <w:rFonts w:hint="eastAsia" w:ascii="仿宋_GB2312" w:hAnsi="仿宋" w:eastAsia="仿宋_GB2312" w:cs="仿宋"/>
                <w:b/>
                <w:sz w:val="32"/>
                <w:szCs w:val="32"/>
              </w:rPr>
              <w:t>本年支出合计</w:t>
            </w:r>
          </w:p>
        </w:tc>
        <w:tc>
          <w:tcPr>
            <w:tcW w:w="1270" w:type="dxa"/>
            <w:vAlign w:val="center"/>
          </w:tcPr>
          <w:p w14:paraId="0DAA5471">
            <w:pPr>
              <w:adjustRightInd w:val="0"/>
              <w:snapToGrid w:val="0"/>
              <w:rPr>
                <w:rFonts w:ascii="仿宋_GB2312" w:hAnsi="仿宋" w:eastAsia="仿宋_GB2312" w:cs="仿宋"/>
                <w:b/>
                <w:bCs/>
                <w:sz w:val="32"/>
                <w:szCs w:val="32"/>
              </w:rPr>
            </w:pPr>
            <w:r>
              <w:rPr>
                <w:rFonts w:hint="eastAsia" w:ascii="仿宋_GB2312" w:hAnsi="仿宋" w:eastAsia="仿宋_GB2312" w:cs="仿宋"/>
                <w:b/>
                <w:bCs/>
                <w:sz w:val="32"/>
                <w:szCs w:val="32"/>
              </w:rPr>
              <w:t>20</w:t>
            </w:r>
          </w:p>
        </w:tc>
      </w:tr>
      <w:tr w14:paraId="3596F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trPr>
        <w:tc>
          <w:tcPr>
            <w:tcW w:w="2948" w:type="dxa"/>
            <w:vAlign w:val="center"/>
          </w:tcPr>
          <w:p w14:paraId="7ED660F8">
            <w:pPr>
              <w:adjustRightInd w:val="0"/>
              <w:snapToGrid w:val="0"/>
              <w:rPr>
                <w:rFonts w:ascii="仿宋_GB2312" w:hAnsi="仿宋" w:eastAsia="仿宋_GB2312" w:cs="仿宋"/>
                <w:bCs/>
                <w:sz w:val="32"/>
                <w:szCs w:val="32"/>
              </w:rPr>
            </w:pPr>
            <w:r>
              <w:rPr>
                <w:rFonts w:hint="eastAsia" w:ascii="仿宋_GB2312" w:hAnsi="仿宋" w:eastAsia="仿宋_GB2312" w:cs="仿宋"/>
                <w:bCs/>
                <w:sz w:val="32"/>
                <w:szCs w:val="32"/>
              </w:rPr>
              <w:t>上级补助收入</w:t>
            </w:r>
          </w:p>
        </w:tc>
        <w:tc>
          <w:tcPr>
            <w:tcW w:w="1211" w:type="dxa"/>
            <w:vAlign w:val="center"/>
          </w:tcPr>
          <w:p w14:paraId="65EAB9B9">
            <w:pPr>
              <w:adjustRightInd w:val="0"/>
              <w:snapToGrid w:val="0"/>
              <w:rPr>
                <w:rFonts w:ascii="仿宋_GB2312" w:hAnsi="仿宋" w:eastAsia="仿宋_GB2312" w:cs="仿宋"/>
                <w:bCs/>
                <w:sz w:val="32"/>
                <w:szCs w:val="32"/>
              </w:rPr>
            </w:pPr>
            <w:r>
              <w:rPr>
                <w:rFonts w:hint="eastAsia" w:ascii="仿宋_GB2312" w:hAnsi="仿宋" w:eastAsia="仿宋_GB2312" w:cs="仿宋"/>
                <w:bCs/>
                <w:sz w:val="32"/>
                <w:szCs w:val="32"/>
              </w:rPr>
              <w:t>20</w:t>
            </w:r>
          </w:p>
        </w:tc>
        <w:tc>
          <w:tcPr>
            <w:tcW w:w="3309" w:type="dxa"/>
            <w:vAlign w:val="center"/>
          </w:tcPr>
          <w:p w14:paraId="12515753">
            <w:pPr>
              <w:adjustRightInd w:val="0"/>
              <w:snapToGrid w:val="0"/>
              <w:rPr>
                <w:rFonts w:ascii="仿宋_GB2312" w:eastAsia="仿宋_GB2312" w:cs="宋体"/>
                <w:sz w:val="32"/>
                <w:szCs w:val="32"/>
              </w:rPr>
            </w:pPr>
            <w:r>
              <w:rPr>
                <w:rFonts w:hint="eastAsia" w:ascii="仿宋_GB2312" w:hAnsi="仿宋" w:eastAsia="仿宋_GB2312" w:cs="仿宋"/>
                <w:sz w:val="32"/>
                <w:szCs w:val="32"/>
              </w:rPr>
              <w:t>调出资金</w:t>
            </w:r>
          </w:p>
        </w:tc>
        <w:tc>
          <w:tcPr>
            <w:tcW w:w="1270" w:type="dxa"/>
            <w:vAlign w:val="center"/>
          </w:tcPr>
          <w:p w14:paraId="5F3FB741">
            <w:pPr>
              <w:adjustRightInd w:val="0"/>
              <w:snapToGrid w:val="0"/>
              <w:rPr>
                <w:rFonts w:ascii="仿宋_GB2312" w:hAnsi="仿宋" w:eastAsia="仿宋_GB2312" w:cs="仿宋"/>
                <w:bCs/>
                <w:sz w:val="32"/>
                <w:szCs w:val="32"/>
              </w:rPr>
            </w:pPr>
            <w:r>
              <w:rPr>
                <w:rFonts w:hint="eastAsia" w:ascii="仿宋_GB2312" w:hAnsi="仿宋" w:eastAsia="仿宋_GB2312" w:cs="仿宋"/>
                <w:bCs/>
                <w:sz w:val="32"/>
                <w:szCs w:val="32"/>
              </w:rPr>
              <w:t>1</w:t>
            </w:r>
            <w:r>
              <w:rPr>
                <w:rFonts w:hint="eastAsia" w:ascii="仿宋_GB2312" w:hAnsi="仿宋" w:eastAsia="仿宋_GB2312" w:cs="仿宋"/>
                <w:bCs/>
                <w:sz w:val="32"/>
                <w:szCs w:val="32"/>
                <w:lang w:val="en-US" w:eastAsia="zh-CN"/>
              </w:rPr>
              <w:t>2</w:t>
            </w:r>
            <w:r>
              <w:rPr>
                <w:rFonts w:hint="eastAsia" w:ascii="仿宋_GB2312" w:hAnsi="仿宋" w:eastAsia="仿宋_GB2312" w:cs="仿宋"/>
                <w:bCs/>
                <w:sz w:val="32"/>
                <w:szCs w:val="32"/>
              </w:rPr>
              <w:t>000</w:t>
            </w:r>
          </w:p>
        </w:tc>
      </w:tr>
      <w:tr w14:paraId="7BA04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2948" w:type="dxa"/>
            <w:vAlign w:val="center"/>
          </w:tcPr>
          <w:p w14:paraId="6C949B1D">
            <w:pPr>
              <w:adjustRightInd w:val="0"/>
              <w:snapToGrid w:val="0"/>
              <w:rPr>
                <w:rFonts w:ascii="仿宋_GB2312" w:hAnsi="仿宋" w:eastAsia="仿宋_GB2312" w:cs="仿宋"/>
                <w:b/>
                <w:sz w:val="32"/>
                <w:szCs w:val="32"/>
              </w:rPr>
            </w:pPr>
            <w:r>
              <w:rPr>
                <w:rFonts w:hint="eastAsia" w:ascii="仿宋_GB2312" w:hAnsi="仿宋" w:eastAsia="仿宋_GB2312" w:cs="仿宋"/>
                <w:b/>
                <w:sz w:val="32"/>
                <w:szCs w:val="32"/>
              </w:rPr>
              <w:t>收入总计</w:t>
            </w:r>
          </w:p>
        </w:tc>
        <w:tc>
          <w:tcPr>
            <w:tcW w:w="1211" w:type="dxa"/>
            <w:vAlign w:val="center"/>
          </w:tcPr>
          <w:p w14:paraId="41DE9A05">
            <w:pPr>
              <w:adjustRightInd w:val="0"/>
              <w:snapToGrid w:val="0"/>
              <w:rPr>
                <w:rFonts w:ascii="仿宋_GB2312" w:hAnsi="仿宋" w:eastAsia="仿宋_GB2312" w:cs="仿宋"/>
                <w:b/>
                <w:sz w:val="32"/>
                <w:szCs w:val="32"/>
              </w:rPr>
            </w:pPr>
            <w:r>
              <w:rPr>
                <w:rFonts w:hint="eastAsia" w:ascii="仿宋_GB2312" w:hAnsi="仿宋" w:eastAsia="仿宋_GB2312" w:cs="仿宋"/>
                <w:b/>
                <w:sz w:val="32"/>
                <w:szCs w:val="32"/>
              </w:rPr>
              <w:t>1</w:t>
            </w:r>
            <w:r>
              <w:rPr>
                <w:rFonts w:hint="eastAsia" w:ascii="仿宋_GB2312" w:hAnsi="仿宋" w:eastAsia="仿宋_GB2312" w:cs="仿宋"/>
                <w:b/>
                <w:sz w:val="32"/>
                <w:szCs w:val="32"/>
                <w:lang w:val="en-US" w:eastAsia="zh-CN"/>
              </w:rPr>
              <w:t>2</w:t>
            </w:r>
            <w:r>
              <w:rPr>
                <w:rFonts w:hint="eastAsia" w:ascii="仿宋_GB2312" w:hAnsi="仿宋" w:eastAsia="仿宋_GB2312" w:cs="仿宋"/>
                <w:b/>
                <w:sz w:val="32"/>
                <w:szCs w:val="32"/>
              </w:rPr>
              <w:t>020</w:t>
            </w:r>
          </w:p>
        </w:tc>
        <w:tc>
          <w:tcPr>
            <w:tcW w:w="3309" w:type="dxa"/>
            <w:vAlign w:val="center"/>
          </w:tcPr>
          <w:p w14:paraId="48F54346">
            <w:pPr>
              <w:adjustRightInd w:val="0"/>
              <w:snapToGrid w:val="0"/>
              <w:rPr>
                <w:rFonts w:ascii="仿宋_GB2312" w:hAnsi="仿宋" w:eastAsia="仿宋_GB2312" w:cs="仿宋"/>
                <w:b/>
                <w:sz w:val="32"/>
                <w:szCs w:val="32"/>
              </w:rPr>
            </w:pPr>
            <w:r>
              <w:rPr>
                <w:rFonts w:hint="eastAsia" w:ascii="仿宋_GB2312" w:hAnsi="仿宋" w:eastAsia="仿宋_GB2312" w:cs="仿宋"/>
                <w:b/>
                <w:sz w:val="32"/>
                <w:szCs w:val="32"/>
              </w:rPr>
              <w:t>支出总计</w:t>
            </w:r>
          </w:p>
        </w:tc>
        <w:tc>
          <w:tcPr>
            <w:tcW w:w="1270" w:type="dxa"/>
            <w:vAlign w:val="center"/>
          </w:tcPr>
          <w:p w14:paraId="7F889808">
            <w:pPr>
              <w:adjustRightInd w:val="0"/>
              <w:snapToGrid w:val="0"/>
              <w:rPr>
                <w:rFonts w:ascii="仿宋_GB2312" w:hAnsi="仿宋" w:eastAsia="仿宋_GB2312" w:cs="仿宋"/>
                <w:b/>
                <w:sz w:val="32"/>
                <w:szCs w:val="32"/>
              </w:rPr>
            </w:pPr>
            <w:r>
              <w:rPr>
                <w:rFonts w:hint="eastAsia" w:ascii="仿宋_GB2312" w:hAnsi="仿宋" w:eastAsia="仿宋_GB2312" w:cs="仿宋"/>
                <w:b/>
                <w:sz w:val="32"/>
                <w:szCs w:val="32"/>
              </w:rPr>
              <w:t>1</w:t>
            </w:r>
            <w:r>
              <w:rPr>
                <w:rFonts w:hint="eastAsia" w:ascii="仿宋_GB2312" w:hAnsi="仿宋" w:eastAsia="仿宋_GB2312" w:cs="仿宋"/>
                <w:b/>
                <w:sz w:val="32"/>
                <w:szCs w:val="32"/>
                <w:lang w:val="en-US" w:eastAsia="zh-CN"/>
              </w:rPr>
              <w:t>2</w:t>
            </w:r>
            <w:r>
              <w:rPr>
                <w:rFonts w:hint="eastAsia" w:ascii="仿宋_GB2312" w:hAnsi="仿宋" w:eastAsia="仿宋_GB2312" w:cs="仿宋"/>
                <w:b/>
                <w:sz w:val="32"/>
                <w:szCs w:val="32"/>
              </w:rPr>
              <w:t>020</w:t>
            </w:r>
          </w:p>
        </w:tc>
      </w:tr>
    </w:tbl>
    <w:p w14:paraId="7B103535">
      <w:pPr>
        <w:adjustRightInd w:val="0"/>
        <w:snapToGrid w:val="0"/>
        <w:spacing w:line="400" w:lineRule="exact"/>
        <w:rPr>
          <w:rFonts w:hint="eastAsia" w:ascii="仿宋_GB2312" w:hAnsi="仿宋" w:eastAsia="仿宋_GB2312" w:cs="仿宋"/>
          <w:sz w:val="32"/>
          <w:szCs w:val="32"/>
          <w:highlight w:val="red"/>
        </w:rPr>
      </w:pPr>
    </w:p>
    <w:p w14:paraId="7A79E538">
      <w:pPr>
        <w:pStyle w:val="2"/>
        <w:rPr>
          <w:rFonts w:hint="eastAsia" w:ascii="仿宋_GB2312" w:hAnsi="仿宋" w:eastAsia="仿宋_GB2312" w:cs="仿宋"/>
          <w:sz w:val="32"/>
          <w:szCs w:val="32"/>
          <w:highlight w:val="red"/>
        </w:rPr>
      </w:pPr>
    </w:p>
    <w:p w14:paraId="69D17059">
      <w:pPr>
        <w:rPr>
          <w:rFonts w:hint="eastAsia" w:ascii="仿宋_GB2312" w:hAnsi="仿宋" w:eastAsia="仿宋_GB2312" w:cs="仿宋"/>
          <w:sz w:val="32"/>
          <w:szCs w:val="32"/>
          <w:highlight w:val="red"/>
        </w:rPr>
      </w:pPr>
    </w:p>
    <w:p w14:paraId="723266D4">
      <w:pPr>
        <w:pStyle w:val="2"/>
        <w:ind w:left="0" w:leftChars="0" w:firstLine="3520" w:firstLineChars="800"/>
        <w:jc w:val="both"/>
        <w:rPr>
          <w:rFonts w:hint="eastAsia" w:ascii="黑体" w:hAnsi="黑体" w:eastAsia="黑体" w:cs="黑体"/>
          <w:color w:val="auto"/>
          <w:sz w:val="44"/>
          <w:szCs w:val="44"/>
          <w:highlight w:val="none"/>
          <w:lang w:eastAsia="zh-CN"/>
        </w:rPr>
      </w:pPr>
      <w:r>
        <w:rPr>
          <w:rFonts w:hint="eastAsia" w:ascii="黑体" w:hAnsi="黑体" w:eastAsia="黑体" w:cs="黑体"/>
          <w:color w:val="auto"/>
          <w:sz w:val="44"/>
          <w:szCs w:val="44"/>
          <w:highlight w:val="none"/>
          <w:lang w:eastAsia="zh-CN"/>
        </w:rPr>
        <w:t>名</w:t>
      </w:r>
      <w:r>
        <w:rPr>
          <w:rFonts w:hint="eastAsia" w:ascii="黑体" w:hAnsi="黑体" w:eastAsia="黑体" w:cs="黑体"/>
          <w:color w:val="auto"/>
          <w:sz w:val="44"/>
          <w:szCs w:val="44"/>
          <w:highlight w:val="none"/>
          <w:lang w:val="en-US" w:eastAsia="zh-CN"/>
        </w:rPr>
        <w:t>词</w:t>
      </w:r>
      <w:r>
        <w:rPr>
          <w:rFonts w:hint="eastAsia" w:ascii="黑体" w:hAnsi="黑体" w:eastAsia="黑体" w:cs="黑体"/>
          <w:color w:val="auto"/>
          <w:sz w:val="44"/>
          <w:szCs w:val="44"/>
          <w:highlight w:val="none"/>
          <w:lang w:eastAsia="zh-CN"/>
        </w:rPr>
        <w:t>解释</w:t>
      </w:r>
    </w:p>
    <w:p w14:paraId="4C088C8A">
      <w:pPr>
        <w:rPr>
          <w:rFonts w:hint="eastAsia"/>
          <w:lang w:eastAsia="zh-CN"/>
        </w:rPr>
      </w:pPr>
    </w:p>
    <w:p w14:paraId="36DF198F">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0" w:firstLineChars="200"/>
        <w:textAlignment w:val="auto"/>
        <w:rPr>
          <w:rFonts w:hint="eastAsia" w:ascii="仿宋_GB2312" w:hAnsi="仿宋" w:eastAsia="仿宋_GB2312" w:cs="Times New Roman"/>
          <w:kern w:val="0"/>
          <w:sz w:val="32"/>
          <w:szCs w:val="32"/>
          <w:lang w:val="en-US"/>
        </w:rPr>
      </w:pPr>
      <w:r>
        <w:rPr>
          <w:rFonts w:hint="eastAsia" w:ascii="仿宋_GB2312" w:hAnsi="仿宋" w:eastAsia="仿宋_GB2312" w:cs="Times New Roman"/>
          <w:kern w:val="0"/>
          <w:sz w:val="32"/>
          <w:szCs w:val="32"/>
          <w:lang w:val="en-US"/>
        </w:rPr>
        <w:t>1</w:t>
      </w:r>
      <w:r>
        <w:rPr>
          <w:rFonts w:hint="eastAsia" w:ascii="仿宋_GB2312" w:hAnsi="仿宋" w:eastAsia="仿宋_GB2312" w:cs="Times New Roman"/>
          <w:kern w:val="0"/>
          <w:sz w:val="32"/>
          <w:szCs w:val="32"/>
          <w:lang w:val="en-US" w:eastAsia="zh-CN"/>
        </w:rPr>
        <w:t>.</w:t>
      </w:r>
      <w:r>
        <w:rPr>
          <w:rFonts w:hint="eastAsia" w:ascii="仿宋_GB2312" w:hAnsi="仿宋" w:eastAsia="仿宋_GB2312" w:cs="Times New Roman"/>
          <w:kern w:val="0"/>
          <w:sz w:val="32"/>
          <w:szCs w:val="32"/>
          <w:lang w:val="en-US"/>
        </w:rPr>
        <w:t>预算稳定调节基金：是指中央或地方财政通过超收收入和支出结余等安排的具有储备性质的基金，视预算平衡情况，在安排下年度预算时调入并使用，或用于弥补短收年份预算执行的收支缺口。预算稳定调节基金的安排使用接受同级人大及其常委会的监督。</w:t>
      </w:r>
    </w:p>
    <w:p w14:paraId="638F23C1">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0" w:firstLineChars="200"/>
        <w:textAlignment w:val="auto"/>
        <w:rPr>
          <w:rFonts w:hint="eastAsia" w:ascii="仿宋_GB2312" w:hAnsi="仿宋" w:eastAsia="仿宋_GB2312" w:cs="Times New Roman"/>
          <w:kern w:val="0"/>
          <w:sz w:val="32"/>
          <w:szCs w:val="32"/>
          <w:lang w:val="en-US"/>
        </w:rPr>
      </w:pPr>
      <w:r>
        <w:rPr>
          <w:rFonts w:hint="eastAsia" w:ascii="仿宋_GB2312" w:hAnsi="仿宋" w:eastAsia="仿宋_GB2312" w:cs="Times New Roman"/>
          <w:kern w:val="0"/>
          <w:sz w:val="32"/>
          <w:szCs w:val="32"/>
          <w:lang w:val="en-US"/>
        </w:rPr>
        <w:t>2</w:t>
      </w:r>
      <w:r>
        <w:rPr>
          <w:rFonts w:hint="eastAsia" w:ascii="仿宋_GB2312" w:hAnsi="仿宋" w:eastAsia="仿宋_GB2312" w:cs="Times New Roman"/>
          <w:kern w:val="0"/>
          <w:sz w:val="32"/>
          <w:szCs w:val="32"/>
          <w:lang w:val="en-US" w:eastAsia="zh-CN"/>
        </w:rPr>
        <w:t>.</w:t>
      </w:r>
      <w:r>
        <w:rPr>
          <w:rFonts w:hint="eastAsia" w:ascii="仿宋_GB2312" w:hAnsi="仿宋" w:eastAsia="仿宋_GB2312" w:cs="Times New Roman"/>
          <w:kern w:val="0"/>
          <w:sz w:val="32"/>
          <w:szCs w:val="32"/>
          <w:lang w:val="en-US"/>
        </w:rPr>
        <w:t>转移支付：财政转移支付制度是现代财政制度的重要组成部分，是推动基本公共服务均等化，实现政府调控目标的重要政策工具。按照预算法规定，中央对地方转移支付包括一般性转移支付和专项转移支付。其中，一般性转移支付主要用于均衡地区间财力配置，保障地方日常运转和加快区域协调发展；专项转移支付主要用于贯彻落实党中央重大决策部署和引导地方干事创业，重点保障党中央大政方针的有效落实。目前，在一般性转移支付中暂列了共同财政事权转移支付，主要用于保障地方落实共同财政事权支出责任所需财力。</w:t>
      </w:r>
    </w:p>
    <w:p w14:paraId="37846901">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0" w:firstLineChars="200"/>
        <w:textAlignment w:val="auto"/>
        <w:rPr>
          <w:rFonts w:hint="eastAsia" w:ascii="仿宋_GB2312" w:hAnsi="仿宋" w:eastAsia="仿宋_GB2312" w:cs="Times New Roman"/>
          <w:kern w:val="0"/>
          <w:sz w:val="32"/>
          <w:szCs w:val="32"/>
          <w:lang w:val="en-US"/>
        </w:rPr>
      </w:pPr>
      <w:r>
        <w:rPr>
          <w:rFonts w:hint="eastAsia" w:ascii="仿宋_GB2312" w:hAnsi="仿宋" w:eastAsia="仿宋_GB2312" w:cs="Times New Roman"/>
          <w:kern w:val="0"/>
          <w:sz w:val="32"/>
          <w:szCs w:val="32"/>
          <w:lang w:val="en-US"/>
        </w:rPr>
        <w:t xml:space="preserve">3。超长期特别国债：我国自2024年起连续几年发行超长期特别国债，不列入赤字，专项用于国家重大战略和重点领域安全能力建设。支持领域聚焦加快实现高水平科技自立自强，推进城乡融合发展，促进区域协调发展，提升粮食和能源资源安全保障能力、推动人口高质量发展、全面推进美丽中国建设等方面的重点任务，以及推动大规模设备更新和消费品以旧换新。 </w:t>
      </w:r>
    </w:p>
    <w:p w14:paraId="118319EB">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0" w:firstLineChars="200"/>
        <w:textAlignment w:val="auto"/>
        <w:rPr>
          <w:rFonts w:hint="eastAsia" w:ascii="仿宋_GB2312" w:hAnsi="仿宋" w:eastAsia="仿宋_GB2312" w:cs="Times New Roman"/>
          <w:kern w:val="0"/>
          <w:sz w:val="32"/>
          <w:szCs w:val="32"/>
          <w:lang w:val="en-US"/>
        </w:rPr>
      </w:pPr>
      <w:r>
        <w:rPr>
          <w:rFonts w:hint="eastAsia" w:ascii="仿宋_GB2312" w:hAnsi="仿宋" w:eastAsia="仿宋_GB2312" w:cs="Times New Roman"/>
          <w:kern w:val="0"/>
          <w:sz w:val="32"/>
          <w:szCs w:val="32"/>
          <w:lang w:val="en-US" w:eastAsia="zh-CN"/>
        </w:rPr>
        <w:t>4</w:t>
      </w:r>
      <w:r>
        <w:rPr>
          <w:rFonts w:hint="eastAsia" w:ascii="仿宋_GB2312" w:hAnsi="仿宋" w:eastAsia="仿宋_GB2312" w:cs="Times New Roman"/>
          <w:kern w:val="0"/>
          <w:sz w:val="32"/>
          <w:szCs w:val="32"/>
          <w:lang w:val="en-US"/>
        </w:rPr>
        <w:t xml:space="preserve">.“三保”标识管理；为逐步实现“三保”支出预算自动化管理，根据财政部统一设置的“三保”项目清单和“三保”标识参考目录，在预算管理一体化系统中对项目和预算指标标注“三保”标识，县级修改删减“三保”标识需经省市两级财政部门审核，确保“三保”标识的完整性、合理性和准确性，从而依托预算管理一体化系统完成“三保”信息数据的提取、查询、财政运行监测等相关工作。 </w:t>
      </w:r>
    </w:p>
    <w:p w14:paraId="2ACB86CD">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0" w:firstLineChars="200"/>
        <w:textAlignment w:val="auto"/>
        <w:rPr>
          <w:rFonts w:hint="eastAsia" w:ascii="仿宋_GB2312" w:hAnsi="仿宋" w:eastAsia="仿宋_GB2312" w:cs="Times New Roman"/>
          <w:kern w:val="0"/>
          <w:sz w:val="32"/>
          <w:szCs w:val="32"/>
          <w:lang w:val="en-US"/>
        </w:rPr>
      </w:pPr>
      <w:r>
        <w:rPr>
          <w:rFonts w:hint="eastAsia" w:ascii="仿宋_GB2312" w:hAnsi="仿宋" w:eastAsia="仿宋_GB2312" w:cs="Times New Roman"/>
          <w:kern w:val="0"/>
          <w:sz w:val="32"/>
          <w:szCs w:val="32"/>
          <w:lang w:val="en-US" w:eastAsia="zh-CN"/>
        </w:rPr>
        <w:t>5</w:t>
      </w:r>
      <w:r>
        <w:rPr>
          <w:rFonts w:hint="eastAsia" w:ascii="仿宋_GB2312" w:hAnsi="仿宋" w:eastAsia="仿宋_GB2312" w:cs="Times New Roman"/>
          <w:kern w:val="0"/>
          <w:sz w:val="32"/>
          <w:szCs w:val="32"/>
          <w:lang w:val="en-US"/>
        </w:rPr>
        <w:t xml:space="preserve">.创业担保贷款贴息:指为落实就业优先政策，支持重点群体就业创业，对符合规定条件的创业者个人或小微企业申请的贷款，由创业担保贷款担保基金或政府性融资担保机构提供担保，由财政部门给予贴息，支持个人创业或者小微企业吸纳就业。 </w:t>
      </w:r>
    </w:p>
    <w:p w14:paraId="42D7B35D">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0" w:firstLineChars="200"/>
        <w:textAlignment w:val="auto"/>
        <w:rPr>
          <w:rFonts w:hint="eastAsia" w:ascii="仿宋_GB2312" w:hAnsi="仿宋" w:eastAsia="仿宋_GB2312" w:cs="Times New Roman"/>
          <w:kern w:val="0"/>
          <w:sz w:val="32"/>
          <w:szCs w:val="32"/>
          <w:lang w:val="en-US"/>
        </w:rPr>
      </w:pPr>
      <w:r>
        <w:rPr>
          <w:rFonts w:hint="eastAsia" w:ascii="仿宋_GB2312" w:hAnsi="仿宋" w:eastAsia="仿宋_GB2312" w:cs="Times New Roman"/>
          <w:kern w:val="0"/>
          <w:sz w:val="32"/>
          <w:szCs w:val="32"/>
          <w:lang w:val="en-US" w:eastAsia="zh-CN"/>
        </w:rPr>
        <w:t>6</w:t>
      </w:r>
      <w:r>
        <w:rPr>
          <w:rFonts w:hint="eastAsia" w:ascii="仿宋_GB2312" w:hAnsi="仿宋" w:eastAsia="仿宋_GB2312" w:cs="Times New Roman"/>
          <w:kern w:val="0"/>
          <w:sz w:val="32"/>
          <w:szCs w:val="32"/>
          <w:lang w:val="en-US"/>
        </w:rPr>
        <w:t xml:space="preserve">.城乡居民基础养老金最低标准:城乡居民基本养老保险实行社会统筹与个人账户相结合的制度模式，待遇由基础养老金和个人账户养老金构成。中央确定全国基础养老金最低标准，并建立基础养老金最低标准正常调整机制。地方可根据当地实际提高基础养老金标准。 </w:t>
      </w:r>
    </w:p>
    <w:p w14:paraId="450C95B9">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0" w:firstLineChars="200"/>
        <w:textAlignment w:val="auto"/>
        <w:rPr>
          <w:rFonts w:hint="eastAsia" w:ascii="仿宋_GB2312" w:hAnsi="仿宋" w:eastAsia="仿宋_GB2312" w:cs="Times New Roman"/>
          <w:kern w:val="0"/>
          <w:sz w:val="32"/>
          <w:szCs w:val="32"/>
          <w:lang w:val="en-US"/>
        </w:rPr>
      </w:pPr>
      <w:r>
        <w:rPr>
          <w:rFonts w:hint="eastAsia" w:ascii="仿宋_GB2312" w:hAnsi="仿宋" w:eastAsia="仿宋_GB2312" w:cs="Times New Roman"/>
          <w:kern w:val="0"/>
          <w:sz w:val="32"/>
          <w:szCs w:val="32"/>
          <w:lang w:val="en-US" w:eastAsia="zh-CN"/>
        </w:rPr>
        <w:t>7</w:t>
      </w:r>
      <w:r>
        <w:rPr>
          <w:rFonts w:hint="eastAsia" w:ascii="仿宋_GB2312" w:hAnsi="仿宋" w:eastAsia="仿宋_GB2312" w:cs="Times New Roman"/>
          <w:kern w:val="0"/>
          <w:sz w:val="32"/>
          <w:szCs w:val="32"/>
          <w:lang w:val="en-US"/>
        </w:rPr>
        <w:t xml:space="preserve">.置换债券:2024年11月8日，十四届全国人大常委会第十二次会议表决通过《全国人民代表大会常务委员会关于批准&lt;国务院关于提请审议增加地方政府债务限额置换存量隐性债务的议案》的决议》，决定批准增加地方政府债务限额置换存量隐性债务的议案。据此财政部下达各地6万亿元地方政府债务限额，分三年安排，即2024-2026年每年2万亿元，支持地方用于置换各类隐性债务。这类用于置换存量隐性债务的地方政府债券，即为置换债券。 </w:t>
      </w:r>
    </w:p>
    <w:p w14:paraId="5E04CE8D">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0" w:firstLineChars="200"/>
        <w:textAlignment w:val="auto"/>
        <w:rPr>
          <w:rFonts w:hint="eastAsia" w:ascii="仿宋_GB2312" w:hAnsi="仿宋" w:eastAsia="仿宋_GB2312" w:cs="Times New Roman"/>
          <w:kern w:val="0"/>
          <w:sz w:val="32"/>
          <w:szCs w:val="32"/>
          <w:lang w:val="en-US"/>
        </w:rPr>
      </w:pPr>
      <w:r>
        <w:rPr>
          <w:rFonts w:hint="eastAsia" w:ascii="仿宋_GB2312" w:hAnsi="仿宋" w:eastAsia="仿宋_GB2312" w:cs="Times New Roman"/>
          <w:kern w:val="0"/>
          <w:sz w:val="32"/>
          <w:szCs w:val="32"/>
          <w:lang w:val="en-US" w:eastAsia="zh-CN"/>
        </w:rPr>
        <w:t>8</w:t>
      </w:r>
      <w:r>
        <w:rPr>
          <w:rFonts w:hint="eastAsia" w:ascii="仿宋_GB2312" w:hAnsi="仿宋" w:eastAsia="仿宋_GB2312" w:cs="Times New Roman"/>
          <w:kern w:val="0"/>
          <w:sz w:val="32"/>
          <w:szCs w:val="32"/>
          <w:lang w:val="en-US"/>
        </w:rPr>
        <w:t xml:space="preserve">.零基预算:是指在预算编制时不考虑以往预算安排基数，而是结合实际需求和财力状况，对各项支出逐项审核后，按照轻重缓急安排支出的预算编制方法。从国内外实践看，零基预算更多体现为运用其理念完善预算管理，并不是全部从零开始编制预算。 </w:t>
      </w:r>
    </w:p>
    <w:p w14:paraId="5DBE2F57">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0" w:firstLineChars="200"/>
        <w:textAlignment w:val="auto"/>
        <w:rPr>
          <w:rFonts w:hint="eastAsia" w:ascii="仿宋_GB2312" w:hAnsi="仿宋" w:eastAsia="仿宋_GB2312" w:cs="Times New Roman"/>
          <w:kern w:val="0"/>
          <w:sz w:val="32"/>
          <w:szCs w:val="32"/>
          <w:lang w:val="en-US"/>
        </w:rPr>
      </w:pPr>
      <w:r>
        <w:rPr>
          <w:rFonts w:hint="eastAsia" w:ascii="仿宋_GB2312" w:hAnsi="仿宋" w:eastAsia="仿宋_GB2312" w:cs="Times New Roman"/>
          <w:kern w:val="0"/>
          <w:sz w:val="32"/>
          <w:szCs w:val="32"/>
          <w:lang w:val="en-US" w:eastAsia="zh-CN"/>
        </w:rPr>
        <w:t>9</w:t>
      </w:r>
      <w:r>
        <w:rPr>
          <w:rFonts w:hint="eastAsia" w:ascii="仿宋_GB2312" w:hAnsi="仿宋" w:eastAsia="仿宋_GB2312" w:cs="Times New Roman"/>
          <w:kern w:val="0"/>
          <w:sz w:val="32"/>
          <w:szCs w:val="32"/>
          <w:lang w:val="en-US"/>
        </w:rPr>
        <w:t xml:space="preserve">.行政事业单位国有资产调剂共享平台:为进一步提高行政事业单位国有资产配置和使用效益，强化财政资源和预算统筹，财政部依托预算管理一体化系统建立全国行政事业单位国有资产调剂共享平台，打通中央和地方的资产调剂共享信息通道， 实现行政事业单位国有资产跨部门、跨级次、跨地区调剂共享。 行政事业单位及时将临时机构资产、待处置资产、闲置资产、低效运转资产、超标超配资产等资产信息发布到平台，供其他有需求的单位申请调剂共享。确定需要调剂共享的资产，经供需双方沟通一致，按照资产使用或处置规定办理。 </w:t>
      </w:r>
    </w:p>
    <w:p w14:paraId="43694F8B">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0" w:firstLineChars="200"/>
        <w:textAlignment w:val="auto"/>
        <w:rPr>
          <w:rFonts w:hint="eastAsia" w:ascii="仿宋_GB2312" w:hAnsi="仿宋" w:eastAsia="仿宋_GB2312" w:cs="Times New Roman"/>
          <w:kern w:val="0"/>
          <w:sz w:val="32"/>
          <w:szCs w:val="32"/>
          <w:lang w:val="en-US"/>
        </w:rPr>
      </w:pPr>
      <w:r>
        <w:rPr>
          <w:rFonts w:hint="eastAsia" w:ascii="仿宋_GB2312" w:hAnsi="仿宋" w:eastAsia="仿宋_GB2312" w:cs="Times New Roman"/>
          <w:kern w:val="0"/>
          <w:sz w:val="32"/>
          <w:szCs w:val="32"/>
          <w:lang w:val="en-US" w:eastAsia="zh-CN"/>
        </w:rPr>
        <w:t>10</w:t>
      </w:r>
      <w:r>
        <w:rPr>
          <w:rFonts w:hint="eastAsia" w:ascii="仿宋_GB2312" w:hAnsi="仿宋" w:eastAsia="仿宋_GB2312" w:cs="Times New Roman"/>
          <w:kern w:val="0"/>
          <w:sz w:val="32"/>
          <w:szCs w:val="32"/>
          <w:lang w:val="en-US"/>
        </w:rPr>
        <w:t xml:space="preserve">.预算管理一体化:财政部组织制定全国统一的预算管理业务规范和技术标准，将预算编制、预算执行、决算和财务报告等业务环节按一个整体进行整合规范，贯通各级财政预算管理。 各地由省级财政部门统一按照业务规范和技术标准建设一体化系统，将市县级预算数据集中到省级财政，并与财政部联网对接， 实现关联业务间、上下级财政间、财政与部门和单位间的工作协同和数据衔接，动态反映各级财政部门预算管理情况，并通过嵌入系统的控制规则规范预算管理和硬化预算约束。 </w:t>
      </w:r>
    </w:p>
    <w:p w14:paraId="4955282B">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0" w:firstLineChars="200"/>
        <w:textAlignment w:val="auto"/>
        <w:rPr>
          <w:rFonts w:hint="eastAsia" w:ascii="仿宋_GB2312" w:hAnsi="仿宋" w:eastAsia="仿宋_GB2312" w:cs="Times New Roman"/>
          <w:kern w:val="0"/>
          <w:sz w:val="32"/>
          <w:szCs w:val="32"/>
          <w:lang w:val="en-US"/>
        </w:rPr>
      </w:pPr>
      <w:r>
        <w:rPr>
          <w:rFonts w:hint="eastAsia" w:ascii="仿宋_GB2312" w:hAnsi="仿宋" w:eastAsia="仿宋_GB2312" w:cs="Times New Roman"/>
          <w:kern w:val="0"/>
          <w:sz w:val="32"/>
          <w:szCs w:val="32"/>
          <w:lang w:val="en-US" w:eastAsia="zh-CN"/>
        </w:rPr>
        <w:t>11</w:t>
      </w:r>
      <w:r>
        <w:rPr>
          <w:rFonts w:hint="eastAsia" w:ascii="仿宋_GB2312" w:hAnsi="仿宋" w:eastAsia="仿宋_GB2312" w:cs="Times New Roman"/>
          <w:kern w:val="0"/>
          <w:sz w:val="32"/>
          <w:szCs w:val="32"/>
          <w:lang w:val="en-US"/>
        </w:rPr>
        <w:t xml:space="preserve">.财会监督:2023年中央办公厅、国务院办公厅印发的《关于进一步加强财会监督工作的意见》明确，财会监督是指依法依规对国家机关、企事业单位、其他组织和个人的财政、财务、会计活动实施监督；要求构建财政部门主责监督、有关部门依责监督、各单位内部监督、相关中介机构执业监督、行业协会自律监督的财会监督体系，建立各类监督主体横向协同、中央与地方纵向联动、财会监督与其他各类监督贯通协调的工作机制。 </w:t>
      </w:r>
    </w:p>
    <w:p w14:paraId="7FF3C7C1">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0" w:firstLineChars="200"/>
        <w:textAlignment w:val="auto"/>
        <w:rPr>
          <w:rFonts w:hint="eastAsia" w:ascii="仿宋_GB2312" w:hAnsi="仿宋" w:eastAsia="仿宋_GB2312" w:cs="Times New Roman"/>
          <w:kern w:val="0"/>
          <w:sz w:val="32"/>
          <w:szCs w:val="32"/>
          <w:lang w:val="en-US" w:eastAsia="zh-CN"/>
        </w:rPr>
      </w:pPr>
      <w:r>
        <w:rPr>
          <w:rFonts w:hint="eastAsia" w:ascii="仿宋_GB2312" w:hAnsi="仿宋" w:eastAsia="仿宋_GB2312" w:cs="Times New Roman"/>
          <w:kern w:val="0"/>
          <w:sz w:val="32"/>
          <w:szCs w:val="32"/>
          <w:lang w:val="en-US" w:eastAsia="zh-CN"/>
        </w:rPr>
        <w:t>12.民生支出：根据中国国家统计局规定的十三类民生支出，具体科目包括：（1）教育支出：包括教育基础设施、教师培训、教材资料等费用。（2）科技创新支出：包括研究开发经费和高技术产业资金投入。（3）文化与传媒支出：包括文化事业设施建设和艺术团体经费等费用。（4）医疗保健和计划生育支出：包括医疗设施、药品储备和计划生育经费等。（5）社会保障支出：包括基本养老保险、失业保险、医疗保险、工伤保险等。（6）住房保障支出：包括保障性住房建设、公租房等相关费用。（7）就业和劳动保障支出：包括职业培训、公共就业服务等费用。（8）环境保护支出：包括环境污染治理、生态保护等费用。（9）公共安全支出：包括消防、交通安全等费用。（10）农业、农村和水利支出：包括现代农业发展、农村基础设施建设等费用。（11）城市基础设施支出：包括市政基础设施建设、公共交通等费用。（12）地方财力保障支出：包括地方政府债务财政补贴等费用。（13）政府机构管理服务支出：包括政府机构运转经费、公务员培训等费用。</w:t>
      </w:r>
    </w:p>
    <w:p w14:paraId="1D48167E">
      <w:pPr>
        <w:keepNext w:val="0"/>
        <w:keepLines w:val="0"/>
        <w:pageBreakBefore w:val="0"/>
        <w:widowControl w:val="0"/>
        <w:kinsoku/>
        <w:wordWrap/>
        <w:overflowPunct w:val="0"/>
        <w:topLinePunct w:val="0"/>
        <w:autoSpaceDE w:val="0"/>
        <w:autoSpaceDN w:val="0"/>
        <w:bidi w:val="0"/>
        <w:adjustRightInd w:val="0"/>
        <w:snapToGrid w:val="0"/>
        <w:spacing w:line="560" w:lineRule="exact"/>
        <w:ind w:firstLine="640" w:firstLineChars="200"/>
        <w:textAlignment w:val="auto"/>
        <w:rPr>
          <w:rFonts w:hint="eastAsia" w:ascii="仿宋_GB2312" w:hAnsi="仿宋" w:eastAsia="仿宋_GB2312"/>
          <w:kern w:val="0"/>
          <w:sz w:val="32"/>
          <w:szCs w:val="32"/>
        </w:rPr>
      </w:pPr>
      <w:r>
        <w:rPr>
          <w:rFonts w:hint="eastAsia" w:ascii="仿宋_GB2312" w:hAnsi="仿宋" w:eastAsia="仿宋_GB2312" w:cs="Times New Roman"/>
          <w:kern w:val="0"/>
          <w:sz w:val="32"/>
          <w:szCs w:val="32"/>
          <w:lang w:val="en-US" w:eastAsia="zh-CN"/>
        </w:rPr>
        <w:t>13.增减变化数据来源：</w:t>
      </w:r>
      <w:r>
        <w:rPr>
          <w:rFonts w:hint="eastAsia" w:ascii="仿宋_GB2312" w:hAnsi="仿宋" w:eastAsia="仿宋_GB2312" w:cs="Times New Roman"/>
          <w:kern w:val="0"/>
          <w:sz w:val="32"/>
          <w:szCs w:val="32"/>
          <w:lang w:val="en-US"/>
        </w:rPr>
        <w:t>202</w:t>
      </w:r>
      <w:r>
        <w:rPr>
          <w:rFonts w:hint="eastAsia" w:ascii="仿宋_GB2312" w:hAnsi="仿宋" w:eastAsia="仿宋_GB2312" w:cs="Times New Roman"/>
          <w:kern w:val="0"/>
          <w:sz w:val="32"/>
          <w:szCs w:val="32"/>
          <w:lang w:val="en-US" w:eastAsia="zh-CN"/>
        </w:rPr>
        <w:t>5</w:t>
      </w:r>
      <w:r>
        <w:rPr>
          <w:rFonts w:hint="eastAsia" w:ascii="仿宋_GB2312" w:hAnsi="仿宋" w:eastAsia="仿宋_GB2312" w:cs="Times New Roman"/>
          <w:kern w:val="0"/>
          <w:sz w:val="32"/>
          <w:szCs w:val="32"/>
          <w:lang w:val="en-US"/>
        </w:rPr>
        <w:t>年预算收支情况</w:t>
      </w:r>
      <w:r>
        <w:rPr>
          <w:rFonts w:hint="eastAsia" w:ascii="仿宋_GB2312" w:hAnsi="仿宋" w:eastAsia="仿宋_GB2312" w:cs="Times New Roman"/>
          <w:kern w:val="0"/>
          <w:sz w:val="32"/>
          <w:szCs w:val="32"/>
          <w:lang w:val="en-US" w:eastAsia="zh-CN"/>
        </w:rPr>
        <w:t>中决算数是与2024年预算执行决算数据比较。2026年预算收支情况中预算数是与2025年经人大常委会批准后的预算调整数进行比较。</w:t>
      </w:r>
    </w:p>
    <w:p w14:paraId="7EFD3EA1">
      <w:pPr>
        <w:keepNext w:val="0"/>
        <w:keepLines w:val="0"/>
        <w:pageBreakBefore w:val="0"/>
        <w:widowControl w:val="0"/>
        <w:kinsoku/>
        <w:wordWrap/>
        <w:overflowPunct w:val="0"/>
        <w:topLinePunct w:val="0"/>
        <w:autoSpaceDE w:val="0"/>
        <w:autoSpaceDN w:val="0"/>
        <w:bidi w:val="0"/>
        <w:adjustRightInd w:val="0"/>
        <w:snapToGrid w:val="0"/>
        <w:spacing w:line="560" w:lineRule="exact"/>
        <w:textAlignment w:val="auto"/>
        <w:rPr>
          <w:rFonts w:hint="eastAsia" w:ascii="仿宋_GB2312" w:hAnsi="仿宋" w:eastAsia="仿宋_GB2312"/>
          <w:kern w:val="0"/>
          <w:sz w:val="32"/>
          <w:szCs w:val="32"/>
        </w:rPr>
      </w:pPr>
    </w:p>
    <w:p w14:paraId="20C1F8CE">
      <w:pPr>
        <w:keepNext w:val="0"/>
        <w:keepLines w:val="0"/>
        <w:pageBreakBefore w:val="0"/>
        <w:widowControl w:val="0"/>
        <w:kinsoku/>
        <w:wordWrap/>
        <w:overflowPunct w:val="0"/>
        <w:topLinePunct w:val="0"/>
        <w:autoSpaceDE w:val="0"/>
        <w:autoSpaceDN w:val="0"/>
        <w:bidi w:val="0"/>
        <w:adjustRightInd w:val="0"/>
        <w:snapToGrid w:val="0"/>
        <w:spacing w:line="560" w:lineRule="exact"/>
        <w:textAlignment w:val="auto"/>
        <w:rPr>
          <w:rFonts w:hint="eastAsia" w:ascii="仿宋_GB2312" w:hAnsi="仿宋" w:eastAsia="仿宋_GB2312"/>
          <w:kern w:val="0"/>
          <w:sz w:val="32"/>
          <w:szCs w:val="32"/>
        </w:rPr>
      </w:pPr>
    </w:p>
    <w:p w14:paraId="5FD75949">
      <w:pPr>
        <w:pStyle w:val="2"/>
        <w:rPr>
          <w:rFonts w:hint="eastAsia" w:ascii="仿宋_GB2312" w:hAnsi="仿宋" w:eastAsia="仿宋_GB2312"/>
          <w:kern w:val="0"/>
          <w:sz w:val="32"/>
          <w:szCs w:val="32"/>
        </w:rPr>
      </w:pPr>
    </w:p>
    <w:p w14:paraId="44CA35C8">
      <w:pPr>
        <w:rPr>
          <w:rFonts w:hint="eastAsia" w:ascii="仿宋_GB2312" w:hAnsi="仿宋" w:eastAsia="仿宋_GB2312"/>
          <w:kern w:val="0"/>
          <w:sz w:val="32"/>
          <w:szCs w:val="32"/>
        </w:rPr>
      </w:pPr>
    </w:p>
    <w:p w14:paraId="7DC2B714">
      <w:pPr>
        <w:pStyle w:val="2"/>
        <w:rPr>
          <w:rFonts w:hint="eastAsia" w:ascii="仿宋_GB2312" w:hAnsi="仿宋" w:eastAsia="仿宋_GB2312"/>
          <w:kern w:val="0"/>
          <w:sz w:val="32"/>
          <w:szCs w:val="32"/>
        </w:rPr>
      </w:pPr>
    </w:p>
    <w:p w14:paraId="5F014C0C">
      <w:pPr>
        <w:rPr>
          <w:rFonts w:hint="eastAsia" w:ascii="仿宋_GB2312" w:hAnsi="仿宋" w:eastAsia="仿宋_GB2312"/>
          <w:kern w:val="0"/>
          <w:sz w:val="32"/>
          <w:szCs w:val="32"/>
        </w:rPr>
      </w:pPr>
    </w:p>
    <w:p w14:paraId="1DAE9199">
      <w:pPr>
        <w:pStyle w:val="2"/>
        <w:rPr>
          <w:rFonts w:hint="eastAsia" w:ascii="仿宋_GB2312" w:hAnsi="仿宋" w:eastAsia="仿宋_GB2312"/>
          <w:kern w:val="0"/>
          <w:sz w:val="32"/>
          <w:szCs w:val="32"/>
        </w:rPr>
      </w:pPr>
    </w:p>
    <w:p w14:paraId="69E578EC">
      <w:pPr>
        <w:rPr>
          <w:rFonts w:hint="eastAsia" w:ascii="仿宋_GB2312" w:hAnsi="仿宋" w:eastAsia="仿宋_GB2312"/>
          <w:kern w:val="0"/>
          <w:sz w:val="32"/>
          <w:szCs w:val="32"/>
        </w:rPr>
      </w:pPr>
    </w:p>
    <w:p w14:paraId="1DC5DDF7">
      <w:pPr>
        <w:pStyle w:val="2"/>
        <w:rPr>
          <w:rFonts w:hint="eastAsia" w:ascii="仿宋_GB2312" w:hAnsi="仿宋" w:eastAsia="仿宋_GB2312"/>
          <w:kern w:val="0"/>
          <w:sz w:val="32"/>
          <w:szCs w:val="32"/>
        </w:rPr>
      </w:pPr>
    </w:p>
    <w:p w14:paraId="5828E93F">
      <w:pPr>
        <w:rPr>
          <w:rFonts w:hint="eastAsia" w:ascii="仿宋_GB2312" w:hAnsi="仿宋" w:eastAsia="仿宋_GB2312"/>
          <w:kern w:val="0"/>
          <w:sz w:val="32"/>
          <w:szCs w:val="32"/>
        </w:rPr>
      </w:pPr>
    </w:p>
    <w:p w14:paraId="122BE5C7">
      <w:pPr>
        <w:pStyle w:val="2"/>
        <w:rPr>
          <w:rFonts w:hint="eastAsia" w:ascii="仿宋_GB2312" w:hAnsi="仿宋" w:eastAsia="仿宋_GB2312"/>
          <w:kern w:val="0"/>
          <w:sz w:val="32"/>
          <w:szCs w:val="32"/>
        </w:rPr>
      </w:pPr>
    </w:p>
    <w:p w14:paraId="2A36D85B">
      <w:pPr>
        <w:rPr>
          <w:rFonts w:hint="eastAsia" w:ascii="仿宋_GB2312" w:hAnsi="仿宋" w:eastAsia="仿宋_GB2312"/>
          <w:kern w:val="0"/>
          <w:sz w:val="32"/>
          <w:szCs w:val="32"/>
        </w:rPr>
      </w:pPr>
    </w:p>
    <w:p w14:paraId="2E3FF0B6">
      <w:pPr>
        <w:pStyle w:val="2"/>
        <w:rPr>
          <w:rFonts w:hint="eastAsia" w:ascii="仿宋_GB2312" w:hAnsi="仿宋" w:eastAsia="仿宋_GB2312"/>
          <w:kern w:val="0"/>
          <w:sz w:val="32"/>
          <w:szCs w:val="32"/>
        </w:rPr>
      </w:pPr>
    </w:p>
    <w:p w14:paraId="6877D660">
      <w:pPr>
        <w:rPr>
          <w:rFonts w:hint="eastAsia" w:ascii="仿宋_GB2312" w:hAnsi="仿宋" w:eastAsia="仿宋_GB2312"/>
          <w:kern w:val="0"/>
          <w:sz w:val="32"/>
          <w:szCs w:val="32"/>
        </w:rPr>
      </w:pPr>
    </w:p>
    <w:p w14:paraId="7FA3B488">
      <w:pPr>
        <w:pStyle w:val="2"/>
        <w:rPr>
          <w:rFonts w:hint="eastAsia" w:ascii="仿宋_GB2312" w:hAnsi="仿宋" w:eastAsia="仿宋_GB2312"/>
          <w:kern w:val="0"/>
          <w:sz w:val="32"/>
          <w:szCs w:val="32"/>
        </w:rPr>
      </w:pPr>
    </w:p>
    <w:p w14:paraId="38CC0CA3">
      <w:pPr>
        <w:rPr>
          <w:rFonts w:hint="eastAsia" w:ascii="仿宋_GB2312" w:hAnsi="仿宋" w:eastAsia="仿宋_GB2312"/>
          <w:kern w:val="0"/>
          <w:sz w:val="32"/>
          <w:szCs w:val="32"/>
        </w:rPr>
      </w:pPr>
    </w:p>
    <w:p w14:paraId="36857F86">
      <w:pPr>
        <w:pStyle w:val="2"/>
        <w:rPr>
          <w:rFonts w:hint="eastAsia" w:ascii="仿宋_GB2312" w:hAnsi="仿宋" w:eastAsia="仿宋_GB2312"/>
          <w:kern w:val="0"/>
          <w:sz w:val="32"/>
          <w:szCs w:val="32"/>
        </w:rPr>
      </w:pPr>
    </w:p>
    <w:p w14:paraId="4F11BF5C">
      <w:pPr>
        <w:rPr>
          <w:rFonts w:hint="eastAsia"/>
        </w:rPr>
      </w:pPr>
    </w:p>
    <w:p w14:paraId="0B70BC46">
      <w:pPr>
        <w:keepNext w:val="0"/>
        <w:keepLines w:val="0"/>
        <w:pageBreakBefore w:val="0"/>
        <w:widowControl w:val="0"/>
        <w:kinsoku/>
        <w:wordWrap/>
        <w:overflowPunct w:val="0"/>
        <w:topLinePunct w:val="0"/>
        <w:autoSpaceDE w:val="0"/>
        <w:autoSpaceDN w:val="0"/>
        <w:bidi w:val="0"/>
        <w:adjustRightInd w:val="0"/>
        <w:snapToGrid w:val="0"/>
        <w:spacing w:line="560" w:lineRule="exact"/>
        <w:textAlignment w:val="auto"/>
        <w:rPr>
          <w:rFonts w:hint="eastAsia" w:ascii="仿宋_GB2312" w:hAnsi="仿宋" w:eastAsia="仿宋_GB2312"/>
          <w:kern w:val="0"/>
          <w:sz w:val="32"/>
          <w:szCs w:val="32"/>
        </w:rPr>
      </w:pPr>
    </w:p>
    <w:p w14:paraId="26201367">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eastAsia="仿宋_GB2312"/>
          <w:sz w:val="24"/>
          <w:u w:val="single"/>
        </w:rPr>
      </w:pPr>
      <w:r>
        <w:rPr>
          <w:rFonts w:hint="eastAsia" w:ascii="仿宋_GB2312" w:eastAsia="仿宋_GB2312"/>
          <w:sz w:val="24"/>
          <w:u w:val="single"/>
        </w:rPr>
        <w:t xml:space="preserve">                                              </w:t>
      </w:r>
      <w:r>
        <w:rPr>
          <w:rFonts w:hint="eastAsia" w:ascii="仿宋_GB2312" w:eastAsia="仿宋_GB2312"/>
          <w:sz w:val="24"/>
          <w:u w:val="single"/>
          <w:lang w:val="en-US" w:eastAsia="zh-CN"/>
        </w:rPr>
        <w:t xml:space="preserve">  </w:t>
      </w:r>
      <w:r>
        <w:rPr>
          <w:rFonts w:hint="eastAsia" w:ascii="仿宋_GB2312" w:eastAsia="仿宋_GB2312"/>
          <w:sz w:val="24"/>
          <w:u w:val="single"/>
        </w:rPr>
        <w:t xml:space="preserve">                        </w:t>
      </w:r>
    </w:p>
    <w:p w14:paraId="3E1CA04C">
      <w:pPr>
        <w:spacing w:line="560" w:lineRule="exact"/>
        <w:rPr>
          <w:rFonts w:hint="eastAsia" w:ascii="仿宋_GB2312" w:eastAsia="仿宋_GB2312"/>
          <w:sz w:val="32"/>
          <w:szCs w:val="32"/>
          <w:u w:val="single"/>
        </w:rPr>
      </w:pPr>
      <w:r>
        <w:rPr>
          <w:rFonts w:hint="eastAsia" w:ascii="仿宋_GB2312" w:eastAsia="仿宋_GB2312"/>
          <w:sz w:val="32"/>
          <w:szCs w:val="32"/>
          <w:u w:val="single"/>
        </w:rPr>
        <w:t>县十六届人大</w:t>
      </w:r>
      <w:r>
        <w:rPr>
          <w:rFonts w:hint="eastAsia" w:ascii="仿宋_GB2312" w:eastAsia="仿宋_GB2312"/>
          <w:sz w:val="32"/>
          <w:szCs w:val="32"/>
          <w:u w:val="single"/>
          <w:lang w:val="en-US" w:eastAsia="zh-CN"/>
        </w:rPr>
        <w:t>七</w:t>
      </w:r>
      <w:r>
        <w:rPr>
          <w:rFonts w:hint="eastAsia" w:ascii="仿宋_GB2312" w:eastAsia="仿宋_GB2312"/>
          <w:sz w:val="32"/>
          <w:szCs w:val="32"/>
          <w:u w:val="single"/>
        </w:rPr>
        <w:t xml:space="preserve">次会议秘书处        </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single"/>
        </w:rPr>
        <w:t>202</w:t>
      </w:r>
      <w:r>
        <w:rPr>
          <w:rFonts w:hint="eastAsia" w:ascii="仿宋_GB2312" w:eastAsia="仿宋_GB2312"/>
          <w:sz w:val="32"/>
          <w:szCs w:val="32"/>
          <w:u w:val="single"/>
          <w:lang w:val="en-US" w:eastAsia="zh-CN"/>
        </w:rPr>
        <w:t>6</w:t>
      </w:r>
      <w:r>
        <w:rPr>
          <w:rFonts w:hint="eastAsia" w:ascii="仿宋_GB2312" w:eastAsia="仿宋_GB2312"/>
          <w:sz w:val="32"/>
          <w:szCs w:val="32"/>
          <w:u w:val="single"/>
        </w:rPr>
        <w:t>年</w:t>
      </w:r>
      <w:r>
        <w:rPr>
          <w:rFonts w:hint="eastAsia" w:ascii="仿宋_GB2312" w:eastAsia="仿宋_GB2312"/>
          <w:sz w:val="32"/>
          <w:szCs w:val="32"/>
          <w:u w:val="single"/>
          <w:lang w:val="en-US" w:eastAsia="zh-CN"/>
        </w:rPr>
        <w:t>**</w:t>
      </w:r>
      <w:r>
        <w:rPr>
          <w:rFonts w:hint="eastAsia" w:ascii="仿宋_GB2312" w:eastAsia="仿宋_GB2312"/>
          <w:sz w:val="32"/>
          <w:szCs w:val="32"/>
          <w:u w:val="single"/>
        </w:rPr>
        <w:t>月</w:t>
      </w:r>
      <w:r>
        <w:rPr>
          <w:rFonts w:hint="eastAsia" w:ascii="仿宋_GB2312" w:eastAsia="仿宋_GB2312"/>
          <w:sz w:val="32"/>
          <w:szCs w:val="32"/>
          <w:u w:val="single"/>
          <w:lang w:val="en-US" w:eastAsia="zh-CN"/>
        </w:rPr>
        <w:t>**</w:t>
      </w:r>
      <w:r>
        <w:rPr>
          <w:rFonts w:hint="eastAsia" w:ascii="仿宋_GB2312" w:eastAsia="仿宋_GB2312"/>
          <w:sz w:val="32"/>
          <w:szCs w:val="32"/>
          <w:u w:val="single"/>
        </w:rPr>
        <w:t>日印发</w:t>
      </w:r>
    </w:p>
    <w:p w14:paraId="1B57A4E8">
      <w:pPr>
        <w:spacing w:line="560" w:lineRule="exact"/>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（共印</w:t>
      </w:r>
      <w:r>
        <w:rPr>
          <w:rFonts w:hint="eastAsia" w:ascii="仿宋_GB2312" w:eastAsia="仿宋_GB2312"/>
          <w:sz w:val="32"/>
          <w:szCs w:val="32"/>
          <w:lang w:val="en-US" w:eastAsia="zh-CN"/>
        </w:rPr>
        <w:t>**</w:t>
      </w:r>
      <w:r>
        <w:rPr>
          <w:rFonts w:hint="eastAsia" w:ascii="仿宋_GB2312" w:eastAsia="仿宋_GB2312"/>
          <w:sz w:val="32"/>
          <w:szCs w:val="32"/>
        </w:rPr>
        <w:t>份）</w:t>
      </w:r>
    </w:p>
    <w:sectPr>
      <w:headerReference r:id="rId3" w:type="default"/>
      <w:footerReference r:id="rId4" w:type="default"/>
      <w:footerReference r:id="rId5" w:type="even"/>
      <w:pgSz w:w="11907" w:h="16840" w:orient="landscape"/>
      <w:pgMar w:top="1701" w:right="1588" w:bottom="1588"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Cambria">
    <w:panose1 w:val="02040503050406030204"/>
    <w:charset w:val="00"/>
    <w:family w:val="roman"/>
    <w:pitch w:val="default"/>
    <w:sig w:usb0="E00002FF" w:usb1="400004FF"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
    <w:altName w:val="Verdana"/>
    <w:panose1 w:val="02010600030101010101"/>
    <w:charset w:val="00"/>
    <w:family w:val="auto"/>
    <w:pitch w:val="default"/>
    <w:sig w:usb0="00000000" w:usb1="0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 w:name="方正大标宋简体">
    <w:altName w:val="Arial Unicode MS"/>
    <w:panose1 w:val="02000000000000000000"/>
    <w:charset w:val="86"/>
    <w:family w:val="auto"/>
    <w:pitch w:val="default"/>
    <w:sig w:usb0="00000000" w:usb1="00000000" w:usb2="00000012" w:usb3="00000000" w:csb0="00040001" w:csb1="00000000"/>
  </w:font>
  <w:font w:name="Arial Unicode MS">
    <w:panose1 w:val="020B0604020202020204"/>
    <w:charset w:val="86"/>
    <w:family w:val="roman"/>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文星楷体">
    <w:altName w:val="宋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auto"/>
    <w:pitch w:val="default"/>
    <w:sig w:usb0="A1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8212A">
    <w:pPr>
      <w:pStyle w:val="10"/>
      <w:framePr w:w="984" w:wrap="around" w:vAnchor="text" w:hAnchor="page" w:x="9329" w:y="6"/>
      <w:jc w:val="right"/>
      <w:rPr>
        <w:rStyle w:val="17"/>
        <w:rFonts w:ascii="宋体" w:hAnsi="宋体" w:eastAsia="宋体"/>
        <w:sz w:val="28"/>
        <w:szCs w:val="28"/>
      </w:rPr>
    </w:pPr>
    <w:r>
      <w:rPr>
        <w:rStyle w:val="17"/>
        <w:rFonts w:ascii="宋体" w:hAnsi="宋体" w:eastAsia="宋体"/>
        <w:sz w:val="28"/>
        <w:szCs w:val="28"/>
      </w:rPr>
      <w:fldChar w:fldCharType="begin"/>
    </w:r>
    <w:r>
      <w:rPr>
        <w:rStyle w:val="17"/>
        <w:rFonts w:ascii="宋体" w:hAnsi="宋体" w:eastAsia="宋体"/>
        <w:sz w:val="28"/>
        <w:szCs w:val="28"/>
      </w:rPr>
      <w:instrText xml:space="preserve">PAGE  </w:instrText>
    </w:r>
    <w:r>
      <w:rPr>
        <w:rStyle w:val="17"/>
        <w:rFonts w:ascii="宋体" w:hAnsi="宋体" w:eastAsia="宋体"/>
        <w:sz w:val="28"/>
        <w:szCs w:val="28"/>
      </w:rPr>
      <w:fldChar w:fldCharType="separate"/>
    </w:r>
    <w:r>
      <w:rPr>
        <w:rStyle w:val="17"/>
        <w:rFonts w:ascii="宋体" w:hAnsi="宋体" w:eastAsia="宋体"/>
        <w:sz w:val="28"/>
        <w:szCs w:val="28"/>
      </w:rPr>
      <w:t>- 7 -</w:t>
    </w:r>
    <w:r>
      <w:rPr>
        <w:rStyle w:val="17"/>
        <w:rFonts w:ascii="宋体" w:hAnsi="宋体" w:eastAsia="宋体"/>
        <w:sz w:val="28"/>
        <w:szCs w:val="28"/>
      </w:rPr>
      <w:fldChar w:fldCharType="end"/>
    </w:r>
  </w:p>
  <w:p w14:paraId="676145B3">
    <w:pPr>
      <w:pStyle w:val="10"/>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63EFA">
    <w:pPr>
      <w:pStyle w:val="10"/>
      <w:framePr w:w="1080" w:wrap="around" w:vAnchor="text" w:hAnchor="margin" w:xAlign="outside" w:y="6"/>
      <w:rPr>
        <w:rStyle w:val="17"/>
        <w:rFonts w:ascii="宋体" w:hAnsi="宋体" w:eastAsia="宋体"/>
        <w:sz w:val="28"/>
        <w:szCs w:val="28"/>
      </w:rPr>
    </w:pPr>
    <w:r>
      <w:rPr>
        <w:rStyle w:val="17"/>
        <w:rFonts w:ascii="宋体" w:hAnsi="宋体" w:eastAsia="宋体"/>
        <w:sz w:val="28"/>
        <w:szCs w:val="28"/>
      </w:rPr>
      <w:fldChar w:fldCharType="begin"/>
    </w:r>
    <w:r>
      <w:rPr>
        <w:rStyle w:val="17"/>
        <w:rFonts w:ascii="宋体" w:hAnsi="宋体" w:eastAsia="宋体"/>
        <w:sz w:val="28"/>
        <w:szCs w:val="28"/>
      </w:rPr>
      <w:instrText xml:space="preserve">PAGE  </w:instrText>
    </w:r>
    <w:r>
      <w:rPr>
        <w:rStyle w:val="17"/>
        <w:rFonts w:ascii="宋体" w:hAnsi="宋体" w:eastAsia="宋体"/>
        <w:sz w:val="28"/>
        <w:szCs w:val="28"/>
      </w:rPr>
      <w:fldChar w:fldCharType="separate"/>
    </w:r>
    <w:r>
      <w:rPr>
        <w:rStyle w:val="17"/>
        <w:rFonts w:ascii="宋体" w:hAnsi="宋体" w:eastAsia="宋体"/>
        <w:sz w:val="28"/>
        <w:szCs w:val="28"/>
      </w:rPr>
      <w:t>- 8 -</w:t>
    </w:r>
    <w:r>
      <w:rPr>
        <w:rStyle w:val="17"/>
        <w:rFonts w:ascii="宋体" w:hAnsi="宋体" w:eastAsia="宋体"/>
        <w:sz w:val="28"/>
        <w:szCs w:val="28"/>
      </w:rPr>
      <w:fldChar w:fldCharType="end"/>
    </w:r>
  </w:p>
  <w:p w14:paraId="1EBB3D70">
    <w:pPr>
      <w:pStyle w:val="10"/>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256DA">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evenAndOddHeaders w:val="1"/>
  <w:bookFoldPrinting w:val="1"/>
  <w:bookFoldPrintingSheets w:val="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4ZjI4ODhjM2M1MmNlM2ZmYzNlYWQ4OTk0MzY0ZGEifQ=="/>
  </w:docVars>
  <w:rsids>
    <w:rsidRoot w:val="00214148"/>
    <w:rsid w:val="00057159"/>
    <w:rsid w:val="00086B2F"/>
    <w:rsid w:val="000D0F57"/>
    <w:rsid w:val="000D25D9"/>
    <w:rsid w:val="00144B10"/>
    <w:rsid w:val="00183752"/>
    <w:rsid w:val="00214148"/>
    <w:rsid w:val="002748DB"/>
    <w:rsid w:val="003258BE"/>
    <w:rsid w:val="0035084B"/>
    <w:rsid w:val="00387DBA"/>
    <w:rsid w:val="00393B82"/>
    <w:rsid w:val="004A2006"/>
    <w:rsid w:val="005026E6"/>
    <w:rsid w:val="0051044D"/>
    <w:rsid w:val="0063752B"/>
    <w:rsid w:val="006567F0"/>
    <w:rsid w:val="006E2FA4"/>
    <w:rsid w:val="00701719"/>
    <w:rsid w:val="007106F1"/>
    <w:rsid w:val="007A2051"/>
    <w:rsid w:val="008772B0"/>
    <w:rsid w:val="00887C35"/>
    <w:rsid w:val="008D4353"/>
    <w:rsid w:val="008E73D8"/>
    <w:rsid w:val="00A0532C"/>
    <w:rsid w:val="00A175CE"/>
    <w:rsid w:val="00B50168"/>
    <w:rsid w:val="00B577FC"/>
    <w:rsid w:val="00B65738"/>
    <w:rsid w:val="00B84CDD"/>
    <w:rsid w:val="00B8554E"/>
    <w:rsid w:val="00C90660"/>
    <w:rsid w:val="00D17285"/>
    <w:rsid w:val="00D5597D"/>
    <w:rsid w:val="00D96635"/>
    <w:rsid w:val="00E310F1"/>
    <w:rsid w:val="00E405E7"/>
    <w:rsid w:val="00E96AAC"/>
    <w:rsid w:val="00EF1ADC"/>
    <w:rsid w:val="00F06278"/>
    <w:rsid w:val="00F176E4"/>
    <w:rsid w:val="00FB4826"/>
    <w:rsid w:val="03BE04B9"/>
    <w:rsid w:val="045E1D6F"/>
    <w:rsid w:val="05D4629F"/>
    <w:rsid w:val="064C13A1"/>
    <w:rsid w:val="06F24493"/>
    <w:rsid w:val="078D48AC"/>
    <w:rsid w:val="08E42261"/>
    <w:rsid w:val="101B020E"/>
    <w:rsid w:val="115B4B8E"/>
    <w:rsid w:val="14E60098"/>
    <w:rsid w:val="18E41595"/>
    <w:rsid w:val="18E5645A"/>
    <w:rsid w:val="1A077661"/>
    <w:rsid w:val="1B3F5796"/>
    <w:rsid w:val="1B9B5DFB"/>
    <w:rsid w:val="1E7A669C"/>
    <w:rsid w:val="21044C3C"/>
    <w:rsid w:val="248A15BB"/>
    <w:rsid w:val="248C7540"/>
    <w:rsid w:val="266E7583"/>
    <w:rsid w:val="26C2328E"/>
    <w:rsid w:val="29A40AB5"/>
    <w:rsid w:val="2DAF7C44"/>
    <w:rsid w:val="2E026666"/>
    <w:rsid w:val="308C66BA"/>
    <w:rsid w:val="313C69A6"/>
    <w:rsid w:val="3200110E"/>
    <w:rsid w:val="38056465"/>
    <w:rsid w:val="39A60760"/>
    <w:rsid w:val="3AEE0FBB"/>
    <w:rsid w:val="3D3A3C3D"/>
    <w:rsid w:val="441B4457"/>
    <w:rsid w:val="4630260D"/>
    <w:rsid w:val="47254C2C"/>
    <w:rsid w:val="4727579D"/>
    <w:rsid w:val="48A24875"/>
    <w:rsid w:val="49801D69"/>
    <w:rsid w:val="49F400D6"/>
    <w:rsid w:val="4AE96EDA"/>
    <w:rsid w:val="4B137364"/>
    <w:rsid w:val="4DFC52AF"/>
    <w:rsid w:val="4E5740C6"/>
    <w:rsid w:val="4EF93E1A"/>
    <w:rsid w:val="500F5347"/>
    <w:rsid w:val="51B91B67"/>
    <w:rsid w:val="529E13BB"/>
    <w:rsid w:val="53A2397B"/>
    <w:rsid w:val="53D14261"/>
    <w:rsid w:val="563F375A"/>
    <w:rsid w:val="565D3EFF"/>
    <w:rsid w:val="566127DE"/>
    <w:rsid w:val="56C1130A"/>
    <w:rsid w:val="586F4742"/>
    <w:rsid w:val="59657925"/>
    <w:rsid w:val="5AA7060D"/>
    <w:rsid w:val="5AF16A81"/>
    <w:rsid w:val="5DF729EB"/>
    <w:rsid w:val="5E913F30"/>
    <w:rsid w:val="5ED17EE9"/>
    <w:rsid w:val="5F3202A9"/>
    <w:rsid w:val="677203DD"/>
    <w:rsid w:val="6B5315AD"/>
    <w:rsid w:val="6DAC7FF1"/>
    <w:rsid w:val="6E054059"/>
    <w:rsid w:val="6E875C85"/>
    <w:rsid w:val="6F9377F4"/>
    <w:rsid w:val="7040659E"/>
    <w:rsid w:val="707A1AB0"/>
    <w:rsid w:val="7179774D"/>
    <w:rsid w:val="72397EDB"/>
    <w:rsid w:val="73375854"/>
    <w:rsid w:val="73CC4FAC"/>
    <w:rsid w:val="74615DC9"/>
    <w:rsid w:val="75AB37EE"/>
    <w:rsid w:val="75E06487"/>
    <w:rsid w:val="764E4FCC"/>
    <w:rsid w:val="77576578"/>
    <w:rsid w:val="780B2500"/>
    <w:rsid w:val="79236C1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ocked="1"/>
    <w:lsdException w:qFormat="1" w:uiPriority="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iPriority="99" w:name="footnote text"/>
    <w:lsdException w:qFormat="1"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paragraph" w:styleId="3">
    <w:name w:val="heading 1"/>
    <w:basedOn w:val="1"/>
    <w:next w:val="1"/>
    <w:link w:val="21"/>
    <w:qFormat/>
    <w:uiPriority w:val="99"/>
    <w:pPr>
      <w:keepNext/>
      <w:keepLines/>
      <w:spacing w:before="340" w:after="330" w:line="578" w:lineRule="auto"/>
      <w:outlineLvl w:val="0"/>
    </w:pPr>
    <w:rPr>
      <w:b/>
      <w:bCs/>
      <w:kern w:val="44"/>
      <w:sz w:val="44"/>
      <w:szCs w:val="44"/>
    </w:rPr>
  </w:style>
  <w:style w:type="paragraph" w:styleId="4">
    <w:name w:val="heading 2"/>
    <w:basedOn w:val="1"/>
    <w:next w:val="1"/>
    <w:qFormat/>
    <w:locked/>
    <w:uiPriority w:val="99"/>
    <w:pPr>
      <w:keepNext/>
      <w:keepLines/>
      <w:spacing w:beforeLines="50" w:afterLines="50" w:line="360" w:lineRule="auto"/>
      <w:outlineLvl w:val="1"/>
    </w:pPr>
    <w:rPr>
      <w:rFonts w:ascii="Cambria" w:hAnsi="Cambria" w:eastAsia="楷体_GB2312"/>
      <w:b/>
      <w:sz w:val="32"/>
      <w:szCs w:val="20"/>
    </w:rPr>
  </w:style>
  <w:style w:type="paragraph" w:styleId="5">
    <w:name w:val="heading 4"/>
    <w:basedOn w:val="1"/>
    <w:next w:val="1"/>
    <w:qFormat/>
    <w:locked/>
    <w:uiPriority w:val="0"/>
    <w:pPr>
      <w:spacing w:before="100" w:beforeAutospacing="1" w:after="100" w:afterAutospacing="1"/>
      <w:jc w:val="left"/>
      <w:outlineLvl w:val="3"/>
    </w:pPr>
    <w:rPr>
      <w:rFonts w:ascii="宋体" w:hAnsi="宋体" w:eastAsia="宋体"/>
      <w:b/>
      <w:kern w:val="0"/>
      <w:sz w:val="24"/>
    </w:rPr>
  </w:style>
  <w:style w:type="character" w:default="1" w:styleId="15">
    <w:name w:val="Default Paragraph Font"/>
    <w:semiHidden/>
    <w:qFormat/>
    <w:uiPriority w:val="99"/>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Normal Indent1"/>
    <w:basedOn w:val="1"/>
    <w:next w:val="1"/>
    <w:qFormat/>
    <w:uiPriority w:val="99"/>
    <w:pPr>
      <w:spacing w:line="660" w:lineRule="exact"/>
      <w:ind w:firstLine="720" w:firstLineChars="200"/>
    </w:pPr>
    <w:rPr>
      <w:rFonts w:eastAsia="楷体_GB2312"/>
      <w:sz w:val="36"/>
      <w:szCs w:val="36"/>
    </w:rPr>
  </w:style>
  <w:style w:type="paragraph" w:styleId="6">
    <w:name w:val="Normal Indent"/>
    <w:basedOn w:val="1"/>
    <w:next w:val="5"/>
    <w:qFormat/>
    <w:uiPriority w:val="0"/>
    <w:pPr>
      <w:ind w:firstLine="420" w:firstLineChars="200"/>
    </w:pPr>
  </w:style>
  <w:style w:type="paragraph" w:styleId="7">
    <w:name w:val="annotation text"/>
    <w:basedOn w:val="1"/>
    <w:semiHidden/>
    <w:unhideWhenUsed/>
    <w:qFormat/>
    <w:uiPriority w:val="99"/>
    <w:pPr>
      <w:jc w:val="left"/>
    </w:pPr>
  </w:style>
  <w:style w:type="paragraph" w:styleId="8">
    <w:name w:val="Body Text"/>
    <w:basedOn w:val="1"/>
    <w:next w:val="1"/>
    <w:qFormat/>
    <w:uiPriority w:val="0"/>
    <w:pPr>
      <w:spacing w:after="120"/>
    </w:pPr>
  </w:style>
  <w:style w:type="paragraph" w:styleId="9">
    <w:name w:val="Body Text Indent"/>
    <w:basedOn w:val="1"/>
    <w:qFormat/>
    <w:uiPriority w:val="0"/>
    <w:pPr>
      <w:ind w:firstLine="640" w:firstLineChars="200"/>
    </w:pPr>
    <w:rPr>
      <w:rFonts w:eastAsia="仿宋_GB2312"/>
      <w:sz w:val="32"/>
    </w:rPr>
  </w:style>
  <w:style w:type="paragraph" w:styleId="10">
    <w:name w:val="footer"/>
    <w:basedOn w:val="1"/>
    <w:link w:val="22"/>
    <w:semiHidden/>
    <w:qFormat/>
    <w:uiPriority w:val="99"/>
    <w:pPr>
      <w:tabs>
        <w:tab w:val="center" w:pos="4153"/>
        <w:tab w:val="right" w:pos="8306"/>
      </w:tabs>
      <w:snapToGrid w:val="0"/>
      <w:jc w:val="left"/>
    </w:pPr>
    <w:rPr>
      <w:sz w:val="18"/>
      <w:szCs w:val="18"/>
    </w:rPr>
  </w:style>
  <w:style w:type="paragraph" w:styleId="11">
    <w:name w:val="header"/>
    <w:basedOn w:val="1"/>
    <w:link w:val="23"/>
    <w:semiHidden/>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99"/>
    <w:pPr>
      <w:spacing w:before="100" w:beforeAutospacing="1" w:after="100" w:afterAutospacing="1"/>
      <w:jc w:val="left"/>
    </w:pPr>
    <w:rPr>
      <w:kern w:val="0"/>
      <w:sz w:val="24"/>
    </w:rPr>
  </w:style>
  <w:style w:type="table" w:styleId="14">
    <w:name w:val="Table Grid"/>
    <w:basedOn w:val="13"/>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99"/>
    <w:rPr>
      <w:rFonts w:cs="Times New Roman"/>
      <w:b/>
    </w:rPr>
  </w:style>
  <w:style w:type="character" w:styleId="17">
    <w:name w:val="page number"/>
    <w:basedOn w:val="15"/>
    <w:qFormat/>
    <w:uiPriority w:val="99"/>
    <w:rPr>
      <w:rFonts w:cs="Times New Roman"/>
    </w:rPr>
  </w:style>
  <w:style w:type="character" w:styleId="18">
    <w:name w:val="Hyperlink"/>
    <w:basedOn w:val="15"/>
    <w:semiHidden/>
    <w:unhideWhenUsed/>
    <w:qFormat/>
    <w:uiPriority w:val="99"/>
    <w:rPr>
      <w:color w:val="0000FF"/>
      <w:u w:val="single"/>
    </w:rPr>
  </w:style>
  <w:style w:type="paragraph" w:customStyle="1" w:styleId="19">
    <w:name w:val="HtmlNormal"/>
    <w:basedOn w:val="1"/>
    <w:next w:val="1"/>
    <w:qFormat/>
    <w:uiPriority w:val="0"/>
    <w:pPr>
      <w:spacing w:before="100" w:beforeAutospacing="1" w:after="100" w:afterAutospacing="1"/>
      <w:jc w:val="left"/>
    </w:pPr>
    <w:rPr>
      <w:rFonts w:ascii="??" w:hAnsi="??"/>
      <w:kern w:val="0"/>
      <w:sz w:val="24"/>
    </w:rPr>
  </w:style>
  <w:style w:type="paragraph" w:customStyle="1" w:styleId="20">
    <w:name w:val="Body Text First Indent1"/>
    <w:basedOn w:val="8"/>
    <w:next w:val="1"/>
    <w:qFormat/>
    <w:uiPriority w:val="0"/>
    <w:pPr>
      <w:spacing w:line="600" w:lineRule="exact"/>
      <w:ind w:firstLine="100" w:firstLineChars="100"/>
    </w:pPr>
    <w:rPr>
      <w:rFonts w:eastAsia="仿宋_GB2312"/>
      <w:sz w:val="32"/>
    </w:rPr>
  </w:style>
  <w:style w:type="character" w:customStyle="1" w:styleId="21">
    <w:name w:val="Heading 1 Char"/>
    <w:basedOn w:val="15"/>
    <w:link w:val="3"/>
    <w:qFormat/>
    <w:locked/>
    <w:uiPriority w:val="99"/>
    <w:rPr>
      <w:rFonts w:cs="Times New Roman"/>
      <w:b/>
      <w:bCs/>
      <w:kern w:val="44"/>
      <w:sz w:val="44"/>
      <w:szCs w:val="44"/>
    </w:rPr>
  </w:style>
  <w:style w:type="character" w:customStyle="1" w:styleId="22">
    <w:name w:val="Footer Char"/>
    <w:basedOn w:val="15"/>
    <w:link w:val="10"/>
    <w:semiHidden/>
    <w:qFormat/>
    <w:locked/>
    <w:uiPriority w:val="99"/>
    <w:rPr>
      <w:rFonts w:cs="Times New Roman"/>
      <w:sz w:val="18"/>
      <w:szCs w:val="18"/>
    </w:rPr>
  </w:style>
  <w:style w:type="character" w:customStyle="1" w:styleId="23">
    <w:name w:val="Header Char"/>
    <w:basedOn w:val="15"/>
    <w:link w:val="11"/>
    <w:semiHidden/>
    <w:qFormat/>
    <w:locked/>
    <w:uiPriority w:val="99"/>
    <w:rPr>
      <w:rFonts w:cs="Times New Roman"/>
      <w:sz w:val="18"/>
      <w:szCs w:val="18"/>
    </w:rPr>
  </w:style>
  <w:style w:type="paragraph" w:customStyle="1" w:styleId="24">
    <w:name w:val="p0"/>
    <w:basedOn w:val="1"/>
    <w:qFormat/>
    <w:uiPriority w:val="99"/>
    <w:pPr>
      <w:widowControl/>
      <w:ind w:firstLine="420"/>
      <w:jc w:val="left"/>
    </w:pPr>
    <w:rPr>
      <w:rFonts w:ascii="Calibri" w:hAnsi="Calibri" w:eastAsia="宋体" w:cs="宋体"/>
      <w:kern w:val="0"/>
      <w:sz w:val="20"/>
      <w:szCs w:val="20"/>
    </w:rPr>
  </w:style>
  <w:style w:type="paragraph" w:styleId="25">
    <w:name w:val="List Paragraph"/>
    <w:basedOn w:val="1"/>
    <w:qFormat/>
    <w:uiPriority w:val="99"/>
    <w:pPr>
      <w:ind w:firstLine="420" w:firstLineChars="200"/>
    </w:pPr>
  </w:style>
  <w:style w:type="paragraph" w:customStyle="1" w:styleId="26">
    <w:name w:val="pa-0"/>
    <w:basedOn w:val="1"/>
    <w:qFormat/>
    <w:uiPriority w:val="0"/>
    <w:pPr>
      <w:widowControl/>
      <w:jc w:val="left"/>
    </w:pPr>
    <w:rPr>
      <w:rFonts w:ascii="宋体" w:hAnsi="宋体" w:cs="宋体"/>
      <w:kern w:val="0"/>
      <w:sz w:val="24"/>
    </w:rPr>
  </w:style>
  <w:style w:type="character" w:customStyle="1" w:styleId="27">
    <w:name w:val="ca-0"/>
    <w:basedOn w:val="15"/>
    <w:qFormat/>
    <w:uiPriority w:val="0"/>
  </w:style>
  <w:style w:type="character" w:customStyle="1" w:styleId="28">
    <w:name w:val="ca-3"/>
    <w:basedOn w:val="15"/>
    <w:qFormat/>
    <w:uiPriority w:val="0"/>
  </w:style>
  <w:style w:type="paragraph" w:customStyle="1" w:styleId="29">
    <w:name w:val="pa-3"/>
    <w:basedOn w:val="1"/>
    <w:qFormat/>
    <w:uiPriority w:val="0"/>
    <w:pPr>
      <w:widowControl/>
      <w:jc w:val="left"/>
    </w:pPr>
    <w:rPr>
      <w:rFonts w:ascii="宋体" w:hAnsi="宋体" w:cs="宋体"/>
      <w:kern w:val="0"/>
      <w:sz w:val="24"/>
    </w:rPr>
  </w:style>
  <w:style w:type="character" w:customStyle="1" w:styleId="30">
    <w:name w:val="ca-4"/>
    <w:basedOn w:val="15"/>
    <w:qFormat/>
    <w:uiPriority w:val="0"/>
  </w:style>
  <w:style w:type="paragraph" w:customStyle="1" w:styleId="31">
    <w:name w:val="No Spacing1"/>
    <w:qFormat/>
    <w:uiPriority w:val="0"/>
    <w:pPr>
      <w:widowControl w:val="0"/>
      <w:jc w:val="both"/>
    </w:pPr>
    <w:rPr>
      <w:rFonts w:ascii="Calibri" w:hAnsi="Calibri" w:eastAsia="微软雅黑" w:cs="Times New Roman"/>
      <w:kern w:val="2"/>
      <w:sz w:val="28"/>
      <w:szCs w:val="22"/>
      <w:lang w:val="en-US" w:eastAsia="zh-CN" w:bidi="ar-SA"/>
    </w:rPr>
  </w:style>
  <w:style w:type="character" w:customStyle="1" w:styleId="32">
    <w:name w:val="font31"/>
    <w:basedOn w:val="15"/>
    <w:qFormat/>
    <w:uiPriority w:val="0"/>
    <w:rPr>
      <w:rFonts w:hint="eastAsia" w:ascii="仿宋_GB2312" w:eastAsia="仿宋_GB2312" w:cs="仿宋_GB2312"/>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Company>CHINA</Company>
  <Pages>34</Pages>
  <Words>11751</Words>
  <Characters>13198</Characters>
  <Lines>0</Lines>
  <Paragraphs>0</Paragraphs>
  <TotalTime>72</TotalTime>
  <ScaleCrop>false</ScaleCrop>
  <LinksUpToDate>false</LinksUpToDate>
  <CharactersWithSpaces>13258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2022-02-18T09:43:00Z</dcterms:created>
  <dc:creator>Administrator</dc:creator>
  <cp:lastModifiedBy>Administrator</cp:lastModifiedBy>
  <cp:lastPrinted>2026-06-08T00:45:00Z</cp:lastPrinted>
  <dcterms:modified xsi:type="dcterms:W3CDTF">2026-06-11T11:45:40Z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71E191E9FF3B47EAA4440139C9F4F632_13</vt:lpwstr>
  </property>
  <property fmtid="{D5CDD505-2E9C-101B-9397-08002B2CF9AE}" pid="4" name="KSOTemplateDocerSaveRecord">
    <vt:lpwstr>eyJoZGlkIjoiODMxZjQyZWQwOTVlMzAwNmEyMGMyMmQ0M2EwNzAxZmYifQ==</vt:lpwstr>
  </property>
</Properties>
</file>