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0330E">
      <w:pPr>
        <w:keepNext w:val="0"/>
        <w:keepLines w:val="0"/>
        <w:pageBreakBefore w:val="0"/>
        <w:kinsoku/>
        <w:wordWrap/>
        <w:overflowPunct/>
        <w:topLinePunct w:val="0"/>
        <w:autoSpaceDE/>
        <w:autoSpaceDN/>
        <w:bidi w:val="0"/>
        <w:spacing w:line="580" w:lineRule="exact"/>
        <w:jc w:val="both"/>
        <w:textAlignment w:val="auto"/>
        <w:rPr>
          <w:rFonts w:hint="eastAsia" w:ascii="方正大标宋简体" w:hAnsi="方正大标宋简体" w:eastAsia="方正大标宋简体" w:cs="方正大标宋简体"/>
          <w:b w:val="0"/>
          <w:bCs w:val="0"/>
          <w:color w:val="000000" w:themeColor="text1"/>
          <w:sz w:val="44"/>
          <w:szCs w:val="44"/>
          <w:lang w:eastAsia="zh-CN"/>
          <w14:textFill>
            <w14:solidFill>
              <w14:schemeClr w14:val="tx1"/>
            </w14:solidFill>
          </w14:textFill>
        </w:rPr>
      </w:pPr>
      <w:bookmarkStart w:id="0" w:name="_GoBack"/>
      <w:bookmarkEnd w:id="0"/>
    </w:p>
    <w:p w14:paraId="2F4F7283">
      <w:pPr>
        <w:keepNext w:val="0"/>
        <w:keepLines w:val="0"/>
        <w:pageBreakBefore w:val="0"/>
        <w:kinsoku/>
        <w:wordWrap/>
        <w:overflowPunct/>
        <w:topLinePunct w:val="0"/>
        <w:autoSpaceDE/>
        <w:autoSpaceDN/>
        <w:bidi w:val="0"/>
        <w:spacing w:line="580" w:lineRule="exact"/>
        <w:jc w:val="center"/>
        <w:textAlignment w:val="auto"/>
        <w:rPr>
          <w:rFonts w:hint="eastAsia" w:ascii="方正大标宋简体" w:hAnsi="方正大标宋简体" w:eastAsia="方正大标宋简体" w:cs="方正大标宋简体"/>
          <w:b w:val="0"/>
          <w:bCs w:val="0"/>
          <w:color w:val="000000" w:themeColor="text1"/>
          <w:sz w:val="44"/>
          <w:szCs w:val="44"/>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44"/>
          <w:szCs w:val="44"/>
          <w:lang w:eastAsia="zh-CN"/>
          <w14:textFill>
            <w14:solidFill>
              <w14:schemeClr w14:val="tx1"/>
            </w14:solidFill>
          </w14:textFill>
        </w:rPr>
        <w:t>西峡县</w:t>
      </w:r>
      <w:r>
        <w:rPr>
          <w:rFonts w:hint="eastAsia" w:ascii="方正大标宋简体" w:hAnsi="方正大标宋简体" w:eastAsia="方正大标宋简体" w:cs="方正大标宋简体"/>
          <w:b w:val="0"/>
          <w:bCs w:val="0"/>
          <w:color w:val="000000" w:themeColor="text1"/>
          <w:sz w:val="44"/>
          <w:szCs w:val="44"/>
          <w:lang w:val="en-US" w:eastAsia="zh-CN"/>
          <w14:textFill>
            <w14:solidFill>
              <w14:schemeClr w14:val="tx1"/>
            </w14:solidFill>
          </w14:textFill>
        </w:rPr>
        <w:t>文化广电和旅游局</w:t>
      </w:r>
    </w:p>
    <w:p w14:paraId="5396AA84">
      <w:pPr>
        <w:keepNext w:val="0"/>
        <w:keepLines w:val="0"/>
        <w:pageBreakBefore w:val="0"/>
        <w:kinsoku/>
        <w:wordWrap/>
        <w:overflowPunct/>
        <w:topLinePunct w:val="0"/>
        <w:autoSpaceDE/>
        <w:autoSpaceDN/>
        <w:bidi w:val="0"/>
        <w:spacing w:line="540" w:lineRule="exact"/>
        <w:ind w:firstLine="880" w:firstLineChars="200"/>
        <w:jc w:val="both"/>
        <w:textAlignment w:val="auto"/>
        <w:rPr>
          <w:rFonts w:hint="default" w:ascii="方正大标宋简体" w:hAnsi="方正大标宋简体" w:eastAsia="方正大标宋简体" w:cs="方正大标宋简体"/>
          <w:b w:val="0"/>
          <w:bCs w:val="0"/>
          <w:color w:val="000000" w:themeColor="text1"/>
          <w:sz w:val="44"/>
          <w:szCs w:val="44"/>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44"/>
          <w:szCs w:val="44"/>
          <w:lang w:val="en-US" w:eastAsia="zh-CN"/>
          <w14:textFill>
            <w14:solidFill>
              <w14:schemeClr w14:val="tx1"/>
            </w14:solidFill>
          </w14:textFill>
        </w:rPr>
        <w:t>关于2025年</w:t>
      </w:r>
      <w:r>
        <w:rPr>
          <w:rFonts w:hint="eastAsia" w:ascii="方正大标宋简体" w:hAnsi="方正大标宋简体" w:eastAsia="方正大标宋简体" w:cs="方正大标宋简体"/>
          <w:b w:val="0"/>
          <w:bCs w:val="0"/>
          <w:color w:val="000000" w:themeColor="text1"/>
          <w:sz w:val="44"/>
          <w:szCs w:val="44"/>
          <w:lang w:eastAsia="zh-CN"/>
          <w14:textFill>
            <w14:solidFill>
              <w14:schemeClr w14:val="tx1"/>
            </w14:solidFill>
          </w14:textFill>
        </w:rPr>
        <w:t>法治</w:t>
      </w:r>
      <w:r>
        <w:rPr>
          <w:rFonts w:hint="eastAsia" w:ascii="方正大标宋简体" w:hAnsi="方正大标宋简体" w:eastAsia="方正大标宋简体" w:cs="方正大标宋简体"/>
          <w:b w:val="0"/>
          <w:bCs w:val="0"/>
          <w:color w:val="000000" w:themeColor="text1"/>
          <w:sz w:val="44"/>
          <w:szCs w:val="44"/>
          <w:lang w:val="en-US" w:eastAsia="zh-CN"/>
          <w14:textFill>
            <w14:solidFill>
              <w14:schemeClr w14:val="tx1"/>
            </w14:solidFill>
          </w14:textFill>
        </w:rPr>
        <w:t>政府</w:t>
      </w:r>
      <w:r>
        <w:rPr>
          <w:rFonts w:hint="eastAsia" w:ascii="方正大标宋简体" w:hAnsi="方正大标宋简体" w:eastAsia="方正大标宋简体" w:cs="方正大标宋简体"/>
          <w:b w:val="0"/>
          <w:bCs w:val="0"/>
          <w:color w:val="000000" w:themeColor="text1"/>
          <w:sz w:val="44"/>
          <w:szCs w:val="44"/>
          <w:lang w:eastAsia="zh-CN"/>
          <w14:textFill>
            <w14:solidFill>
              <w14:schemeClr w14:val="tx1"/>
            </w14:solidFill>
          </w14:textFill>
        </w:rPr>
        <w:t>建设</w:t>
      </w:r>
      <w:r>
        <w:rPr>
          <w:rFonts w:hint="eastAsia" w:ascii="方正大标宋简体" w:hAnsi="方正大标宋简体" w:eastAsia="方正大标宋简体" w:cs="方正大标宋简体"/>
          <w:b w:val="0"/>
          <w:bCs w:val="0"/>
          <w:color w:val="000000" w:themeColor="text1"/>
          <w:sz w:val="44"/>
          <w:szCs w:val="44"/>
          <w:lang w:val="en-US" w:eastAsia="zh-CN"/>
          <w14:textFill>
            <w14:solidFill>
              <w14:schemeClr w14:val="tx1"/>
            </w14:solidFill>
          </w14:textFill>
        </w:rPr>
        <w:t>情况的报告</w:t>
      </w:r>
    </w:p>
    <w:p w14:paraId="0DE2D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p>
    <w:p w14:paraId="25D6B8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2025</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年以来，在县委、县政府的正确领导</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下</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我局认真贯彻落实中央和省、市、县法治工作精神，坚持以习近平新时代中国特色社会主义思想为指导，按照依法行政、程序正确、高效便民、权责一致的要求，狠抓制度落实，强化行政监督，深化行政执法责任制，取得了一定的成效，</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现将</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2025年度法治建设工作总结如下：</w:t>
      </w:r>
    </w:p>
    <w:p w14:paraId="223D7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000000" w:themeColor="text1"/>
          <w:sz w:val="32"/>
          <w:szCs w:val="32"/>
          <w:lang w:val="en-US"/>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lang w:val="en-US" w:eastAsia="zh-CN"/>
          <w14:textFill>
            <w14:solidFill>
              <w14:schemeClr w14:val="tx1"/>
            </w14:solidFill>
          </w14:textFill>
        </w:rPr>
        <w:t>主要</w:t>
      </w:r>
      <w:r>
        <w:rPr>
          <w:rFonts w:hint="eastAsia" w:ascii="黑体" w:hAnsi="黑体" w:eastAsia="黑体" w:cs="黑体"/>
          <w:b w:val="0"/>
          <w:bCs w:val="0"/>
          <w:color w:val="000000" w:themeColor="text1"/>
          <w:sz w:val="32"/>
          <w:szCs w:val="32"/>
          <w:lang w:eastAsia="zh-CN"/>
          <w14:textFill>
            <w14:solidFill>
              <w14:schemeClr w14:val="tx1"/>
            </w14:solidFill>
          </w14:textFill>
        </w:rPr>
        <w:t>开展工作</w:t>
      </w:r>
      <w:r>
        <w:rPr>
          <w:rFonts w:hint="eastAsia" w:ascii="黑体" w:hAnsi="黑体" w:eastAsia="黑体" w:cs="黑体"/>
          <w:b w:val="0"/>
          <w:bCs w:val="0"/>
          <w:color w:val="000000" w:themeColor="text1"/>
          <w:sz w:val="32"/>
          <w:szCs w:val="32"/>
          <w:lang w:val="en-US" w:eastAsia="zh-CN"/>
          <w14:textFill>
            <w14:solidFill>
              <w14:schemeClr w14:val="tx1"/>
            </w14:solidFill>
          </w14:textFill>
        </w:rPr>
        <w:t>及成效</w:t>
      </w:r>
    </w:p>
    <w:p w14:paraId="57E9E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shd w:val="clear" w:fill="FFFFFF"/>
          <w:lang w:val="en-US" w:eastAsia="zh-CN" w:bidi="ar"/>
          <w14:textFill>
            <w14:solidFill>
              <w14:schemeClr w14:val="tx1"/>
            </w14:solidFill>
          </w14:textFill>
        </w:rPr>
        <w:t>（一）领导高度重视、强化组织保障。</w:t>
      </w:r>
      <w:r>
        <w:rPr>
          <w:rFonts w:hint="eastAsia" w:ascii="仿宋_GB2312" w:hAnsi="仿宋_GB2312" w:eastAsia="仿宋_GB2312" w:cs="仿宋_GB2312"/>
          <w:b w:val="0"/>
          <w:bCs w:val="0"/>
          <w:color w:val="000000" w:themeColor="text1"/>
          <w:spacing w:val="0"/>
          <w:kern w:val="0"/>
          <w:sz w:val="32"/>
          <w:szCs w:val="32"/>
          <w:shd w:val="clear" w:fill="FFFFFF"/>
          <w:lang w:val="en-US" w:eastAsia="zh-CN" w:bidi="ar"/>
          <w14:textFill>
            <w14:solidFill>
              <w14:schemeClr w14:val="tx1"/>
            </w14:solidFill>
          </w14:textFill>
        </w:rPr>
        <w:t>一是我局召开法治政府建设工作专题会议，明确了责任分工，细化了工作职责，为深入推进我局法治政府建设工作提供了有力的组织保障。二是加强学习，</w:t>
      </w:r>
      <w:r>
        <w:rPr>
          <w:rFonts w:hint="eastAsia" w:ascii="仿宋_GB2312" w:hAnsi="仿宋_GB2312" w:eastAsia="仿宋_GB2312" w:cs="仿宋_GB2312"/>
          <w:color w:val="000000" w:themeColor="text1"/>
          <w:spacing w:val="0"/>
          <w:kern w:val="0"/>
          <w:sz w:val="32"/>
          <w:szCs w:val="32"/>
          <w:shd w:val="clear" w:fill="FFFFFF"/>
          <w:lang w:val="en-US" w:eastAsia="zh-CN" w:bidi="ar"/>
          <w14:textFill>
            <w14:solidFill>
              <w14:schemeClr w14:val="tx1"/>
            </w14:solidFill>
          </w14:textFill>
        </w:rPr>
        <w:t>我局制定了依法行政年度培训计划，认真组织开展领导干部学法用法活动。根据县政府相关工作要求，组织领导干部参加省、市、县组织的线上平台学习、党校培训、法制讲座等，重点学习了习近平总书记系列讲话精神、党的二十大精神，习近平总书记关于法治建设、依法行政工作的重要论述等，不断提升法治理论水平和依法行政能力。三是</w:t>
      </w:r>
      <w:r>
        <w:rPr>
          <w:rFonts w:hint="eastAsia" w:ascii="仿宋_GB2312" w:hAnsi="仿宋_GB2312" w:eastAsia="仿宋_GB2312" w:cs="仿宋_GB2312"/>
          <w:color w:val="000000" w:themeColor="text1"/>
          <w:sz w:val="32"/>
          <w:szCs w:val="32"/>
          <w14:textFill>
            <w14:solidFill>
              <w14:schemeClr w14:val="tx1"/>
            </w14:solidFill>
          </w14:textFill>
        </w:rPr>
        <w:t>切实履行法治</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14:textFill>
            <w14:solidFill>
              <w14:schemeClr w14:val="tx1"/>
            </w14:solidFill>
          </w14:textFill>
        </w:rPr>
        <w:t>建设第一责任人职责，</w:t>
      </w:r>
      <w:r>
        <w:rPr>
          <w:rFonts w:hint="eastAsia" w:ascii="仿宋_GB2312" w:hAnsi="仿宋_GB2312" w:eastAsia="仿宋_GB2312" w:cs="仿宋_GB2312"/>
          <w:b w:val="0"/>
          <w:bCs w:val="0"/>
          <w:color w:val="000000" w:themeColor="text1"/>
          <w:spacing w:val="0"/>
          <w:kern w:val="0"/>
          <w:sz w:val="32"/>
          <w:szCs w:val="32"/>
          <w:shd w:val="clear" w:fill="FFFFFF"/>
          <w:lang w:val="en-US" w:eastAsia="zh-CN" w:bidi="ar"/>
          <w14:textFill>
            <w14:solidFill>
              <w14:schemeClr w14:val="tx1"/>
            </w14:solidFill>
          </w14:textFill>
        </w:rPr>
        <w:t>严格落实“三重一大”决策制度，</w:t>
      </w:r>
      <w:r>
        <w:rPr>
          <w:rFonts w:hint="eastAsia" w:ascii="仿宋_GB2312" w:hAnsi="仿宋_GB2312" w:eastAsia="仿宋_GB2312" w:cs="仿宋_GB2312"/>
          <w:color w:val="000000" w:themeColor="text1"/>
          <w:sz w:val="32"/>
          <w:szCs w:val="32"/>
          <w14:textFill>
            <w14:solidFill>
              <w14:schemeClr w14:val="tx1"/>
            </w14:solidFill>
          </w14:textFill>
        </w:rPr>
        <w:t>把法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治</w:t>
      </w:r>
      <w:r>
        <w:rPr>
          <w:rFonts w:hint="eastAsia" w:ascii="仿宋_GB2312" w:hAnsi="仿宋_GB2312" w:eastAsia="仿宋_GB2312" w:cs="仿宋_GB2312"/>
          <w:color w:val="000000" w:themeColor="text1"/>
          <w:sz w:val="32"/>
          <w:szCs w:val="32"/>
          <w14:textFill>
            <w14:solidFill>
              <w14:schemeClr w14:val="tx1"/>
            </w14:solidFill>
          </w14:textFill>
        </w:rPr>
        <w:t>政府建设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作为一项重要的政治任务来抓，对法治工作亲自部署、重大问题亲自过问、重点环节亲自协调、重要任务亲自督办，切实承担起推进法治政府建设责任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32"/>
          <w:szCs w:val="32"/>
          <w:shd w:val="clear" w:fill="FFFFFF"/>
          <w:lang w:val="en-US" w:eastAsia="zh-CN" w:bidi="ar"/>
          <w14:textFill>
            <w14:solidFill>
              <w14:schemeClr w14:val="tx1"/>
            </w14:solidFill>
          </w14:textFill>
        </w:rPr>
        <w:t>每半年召开专题会议，听取法治工作汇报，研究解决重大难题。</w:t>
      </w:r>
    </w:p>
    <w:p w14:paraId="4A8522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shd w:val="clear" w:fill="FFFFFF"/>
          <w:lang w:val="en-US" w:eastAsia="zh-CN" w:bidi="ar"/>
          <w14:textFill>
            <w14:solidFill>
              <w14:schemeClr w14:val="tx1"/>
            </w14:solidFill>
          </w14:textFill>
        </w:rPr>
        <w:t>（二）加强队伍建设，规范文明执法。</w:t>
      </w:r>
      <w:r>
        <w:rPr>
          <w:rFonts w:hint="eastAsia" w:ascii="仿宋_GB2312" w:hAnsi="仿宋_GB2312" w:eastAsia="仿宋_GB2312" w:cs="仿宋_GB2312"/>
          <w:b w:val="0"/>
          <w:bCs w:val="0"/>
          <w:color w:val="000000" w:themeColor="text1"/>
          <w:spacing w:val="0"/>
          <w:kern w:val="0"/>
          <w:sz w:val="32"/>
          <w:szCs w:val="32"/>
          <w:shd w:val="clear" w:fill="FFFFFF"/>
          <w:lang w:val="en-US" w:eastAsia="zh-CN" w:bidi="ar"/>
          <w14:textFill>
            <w14:solidFill>
              <w14:schemeClr w14:val="tx1"/>
            </w14:solidFill>
          </w14:textFill>
        </w:rPr>
        <w:t>一是加强行政执法队伍建设。按照上级部门的要求，严格落实行政执法人员资格管理制度，对具备执法资格的人员办理行政执法证，杜绝无证人员上岗，及时对行政执法人员进行执法证年审，对执法证到期以及需要新申领执法证的人员及时办理相关手续，严格规范执法人员持证上岗。二是全面落实行政执法“三项制度”。重大案件须由法制机构出具法制审核意见后再执行，加强执法监督力度，促进依法行政、规范文明执法。</w:t>
      </w:r>
    </w:p>
    <w:p w14:paraId="4DC6FF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bCs/>
          <w:color w:val="000000" w:themeColor="text1"/>
          <w:spacing w:val="0"/>
          <w:kern w:val="0"/>
          <w:sz w:val="32"/>
          <w:szCs w:val="32"/>
          <w:shd w:val="clear" w:fill="FFFFFF"/>
          <w:lang w:val="en-US" w:eastAsia="zh-CN" w:bidi="ar"/>
          <w14:textFill>
            <w14:solidFill>
              <w14:schemeClr w14:val="tx1"/>
            </w14:solidFill>
          </w14:textFill>
        </w:rPr>
        <w:t>（三）</w:t>
      </w:r>
      <w:r>
        <w:rPr>
          <w:rFonts w:hint="eastAsia" w:ascii="楷体_GB2312" w:eastAsia="楷体_GB2312"/>
          <w:b/>
          <w:sz w:val="32"/>
          <w:szCs w:val="32"/>
        </w:rPr>
        <w:t>加强部门联动，维护市场环境</w:t>
      </w:r>
      <w:r>
        <w:rPr>
          <w:rFonts w:hint="eastAsia" w:ascii="楷体_GB2312" w:hAnsi="楷体_GB2312" w:eastAsia="楷体_GB2312" w:cs="楷体_GB2312"/>
          <w:b/>
          <w:bCs/>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eastAsia="仿宋_GB2312"/>
          <w:sz w:val="32"/>
          <w:szCs w:val="32"/>
        </w:rPr>
        <w:t>加强与宣传部新闻出版局、“扫黄打非”办、公安局、市场监管局、消防大队等部门合作，持续优化跨部门执法协作。先后2次联合新闻出版局、公安、市监、消防等部门分别对网吧、歌舞娱乐场所、剧本杀、电影院、印刷企业、出版物市场等进行执法检查；分别联合公安、新闻出版局对点播休闲点进行专项检查；联合公安部门对游艺游戏设备进行联合检查；联合市监、住建、五里桥镇对时代广场、法治广场的游乐经营活动和小龙人游乐园进行联合检查；联合统战、公安等部门对涉宗教迷信场所进行检查；联合交通执法大队对旅游大巴进行检查；联合市场监管局、五里桥执法队劝止一起违规演出活动；联合桑坪派出所对涉嫌擅自从事歌舞娱乐活动进行检查；联合城关派出所对网吧进行检查；联合五里桥派出所对歌舞娱乐场所进行检查。</w:t>
      </w:r>
    </w:p>
    <w:p w14:paraId="40E21D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楷体_GB2312" w:eastAsia="楷体_GB2312"/>
          <w:b/>
          <w:sz w:val="32"/>
          <w:szCs w:val="32"/>
        </w:rPr>
        <w:t>（</w:t>
      </w:r>
      <w:r>
        <w:rPr>
          <w:rFonts w:hint="eastAsia" w:ascii="楷体_GB2312" w:eastAsia="楷体_GB2312"/>
          <w:b/>
          <w:sz w:val="32"/>
          <w:szCs w:val="32"/>
          <w:lang w:val="en-US" w:eastAsia="zh-CN"/>
        </w:rPr>
        <w:t>四</w:t>
      </w:r>
      <w:r>
        <w:rPr>
          <w:rFonts w:hint="eastAsia" w:ascii="楷体_GB2312" w:eastAsia="楷体_GB2312"/>
          <w:b/>
          <w:sz w:val="32"/>
          <w:szCs w:val="32"/>
        </w:rPr>
        <w:t>）加强执法力度，实现全域覆盖。</w:t>
      </w:r>
      <w:r>
        <w:rPr>
          <w:rFonts w:hint="eastAsia" w:ascii="仿宋_GB2312" w:eastAsia="仿宋_GB2312"/>
          <w:sz w:val="32"/>
          <w:szCs w:val="32"/>
        </w:rPr>
        <w:t>目前，已实现对“法有授权”的文化市场业态的全覆盖执法检查。尤其是今年以来主动采取“三全”措施做好日常执法检查，即：在检查人员上实现“全员”上阵，人人参与执法检查，实施“党员领跑”工程，由支部书记、党员执法人员带头认领任务、办理案件；在检查时间上实现“全时”，出台了《日常执法巡查制度（试行）》，加大夜查、公休日和节假日检查力度；在检查对象上实现“全域”，加大对电影、广电、出版版权、艺术品、文物市场等领域检查，不留执法盲区。下半年，严格落实省文旅厅等十一部门的“六条措施”和市文广旅局涉企行政检查频次要求，以“无事不扰，有呼必应”为导向，严格规范涉企行政检查，精准护航文旅产业高质量发展。</w:t>
      </w:r>
      <w:r>
        <w:rPr>
          <w:rFonts w:hint="eastAsia" w:ascii="仿宋_GB2312" w:hAnsi="黑体" w:eastAsia="仿宋_GB2312"/>
          <w:sz w:val="32"/>
          <w:szCs w:val="32"/>
        </w:rPr>
        <w:t>同时，围绕</w:t>
      </w:r>
      <w:r>
        <w:rPr>
          <w:rFonts w:hint="eastAsia" w:ascii="仿宋_GB2312" w:eastAsia="仿宋_GB2312"/>
          <w:sz w:val="32"/>
          <w:szCs w:val="32"/>
        </w:rPr>
        <w:t>“三重”（即重点突出未成年人保护，严查网吧、KTV、电竞酒店电竞区允许未成年人进入违法行为；重点突出“扫黄打非”，严查非法出版物，守牢意识形态底线；重点突出“两头”旅游市场，严查未经许可从事旅行社业务违法行为），已适时启动、实施了导游乱象等旅游市场突出问题专项整治、宾馆酒店广播电视传播秩序专项整治行动、暑期文旅市场专项、互联网上网服务场所、出版物印刷市场、文化娱乐场所、电竞酒店、旅游市场、电影市场、网络文化、网络售书、营业性演出市场、春联市场、游艺游乐经营活动、艺术品市场等专项集中检查行动。截止目前，</w:t>
      </w:r>
      <w:r>
        <w:rPr>
          <w:rFonts w:hint="eastAsia" w:ascii="仿宋_GB2312" w:hAnsi="黑体" w:eastAsia="仿宋_GB2312"/>
          <w:sz w:val="32"/>
          <w:szCs w:val="32"/>
        </w:rPr>
        <w:t>共出动执法人员3456人次，检查各类文化市场经营单位1103家次，查处违法违规行为8起（结转2起）；</w:t>
      </w:r>
      <w:r>
        <w:rPr>
          <w:rFonts w:hint="eastAsia" w:ascii="仿宋_GB2312" w:eastAsia="仿宋_GB2312"/>
          <w:sz w:val="32"/>
          <w:szCs w:val="32"/>
        </w:rPr>
        <w:t>累计</w:t>
      </w:r>
      <w:r>
        <w:rPr>
          <w:rFonts w:hint="eastAsia" w:ascii="仿宋_GB2312" w:hAnsi="黑体" w:eastAsia="仿宋_GB2312"/>
          <w:sz w:val="32"/>
          <w:szCs w:val="32"/>
        </w:rPr>
        <w:t>发放简易行政指导意见书55份；办理行政指导案卷1起。开展行政处罚案件回访8起；受理投诉举报105件，热线办反馈满意率为100%。</w:t>
      </w:r>
    </w:p>
    <w:p w14:paraId="403493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shd w:val="clear" w:fill="FFFFFF"/>
          <w:lang w:val="en-US" w:eastAsia="zh-CN" w:bidi="ar"/>
          <w14:textFill>
            <w14:solidFill>
              <w14:schemeClr w14:val="tx1"/>
            </w14:solidFill>
          </w14:textFill>
        </w:rPr>
        <w:t>（五）加强业务培训，提升业务水平。</w:t>
      </w:r>
      <w:r>
        <w:rPr>
          <w:rFonts w:hint="eastAsia" w:ascii="仿宋" w:hAnsi="仿宋" w:eastAsia="仿宋" w:cs="仿宋"/>
          <w:b w:val="0"/>
          <w:bCs/>
          <w:color w:val="000000" w:themeColor="text1"/>
          <w:sz w:val="32"/>
          <w:szCs w:val="32"/>
          <w14:textFill>
            <w14:solidFill>
              <w14:schemeClr w14:val="tx1"/>
            </w14:solidFill>
          </w14:textFill>
        </w:rPr>
        <w:t>一是</w:t>
      </w:r>
      <w:r>
        <w:rPr>
          <w:rFonts w:hint="eastAsia" w:ascii="仿宋_GB2312" w:eastAsia="仿宋_GB2312"/>
          <w:sz w:val="32"/>
          <w:szCs w:val="32"/>
        </w:rPr>
        <w:t>高度重视政治素养和执法业务能力培养</w:t>
      </w:r>
      <w:r>
        <w:rPr>
          <w:rFonts w:hint="eastAsia" w:ascii="仿宋_GB2312" w:eastAsia="仿宋_GB2312"/>
          <w:sz w:val="32"/>
          <w:szCs w:val="32"/>
          <w:lang w:eastAsia="zh-CN"/>
        </w:rPr>
        <w:t>。</w:t>
      </w:r>
      <w:r>
        <w:rPr>
          <w:rFonts w:hint="eastAsia" w:ascii="仿宋_GB2312" w:eastAsia="仿宋_GB2312"/>
          <w:sz w:val="32"/>
          <w:szCs w:val="32"/>
        </w:rPr>
        <w:t>推动“八点半课堂”，充分利用周例会，积极落实第一议题制度，让政治理论学习成为常态。制订</w:t>
      </w:r>
      <w:r>
        <w:rPr>
          <w:rFonts w:hint="eastAsia" w:ascii="仿宋_GB2312" w:eastAsia="仿宋_GB2312"/>
          <w:sz w:val="32"/>
          <w:szCs w:val="32"/>
          <w:lang w:eastAsia="zh-CN"/>
        </w:rPr>
        <w:t>了</w:t>
      </w:r>
      <w:r>
        <w:rPr>
          <w:rFonts w:hint="eastAsia" w:ascii="仿宋_GB2312" w:eastAsia="仿宋_GB2312"/>
          <w:sz w:val="32"/>
          <w:szCs w:val="32"/>
        </w:rPr>
        <w:t>《2025年度行政执法理论及业务知识培训计划》，目前已组织11期业务培训，月月有</w:t>
      </w:r>
      <w:r>
        <w:rPr>
          <w:rFonts w:hint="eastAsia" w:ascii="仿宋_GB2312" w:hAnsi="黑体" w:eastAsia="仿宋_GB2312"/>
          <w:sz w:val="32"/>
          <w:szCs w:val="32"/>
        </w:rPr>
        <w:t>主题，轮流授课，以讲促学。</w:t>
      </w:r>
      <w:r>
        <w:rPr>
          <w:rFonts w:hint="eastAsia" w:ascii="仿宋_GB2312" w:hAnsi="黑体" w:eastAsia="仿宋_GB2312"/>
          <w:sz w:val="32"/>
          <w:szCs w:val="32"/>
          <w:lang w:val="en-US" w:eastAsia="zh-CN"/>
        </w:rPr>
        <w:t>二</w:t>
      </w:r>
      <w:r>
        <w:rPr>
          <w:rFonts w:hint="eastAsia" w:ascii="仿宋_GB2312" w:eastAsia="仿宋_GB2312"/>
          <w:sz w:val="32"/>
          <w:szCs w:val="32"/>
        </w:rPr>
        <w:t>是积极开展线上培训。分别利用全国文化市场技术监管与服务平台在线培训系统和河南省国家工作人员线上学法考法平台开展线上学习</w:t>
      </w: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 w:hAnsi="仿宋" w:eastAsia="仿宋" w:cs="仿宋"/>
          <w:b w:val="0"/>
          <w:bCs/>
          <w:color w:val="000000" w:themeColor="text1"/>
          <w:sz w:val="32"/>
          <w:szCs w:val="32"/>
          <w14:textFill>
            <w14:solidFill>
              <w14:schemeClr w14:val="tx1"/>
            </w14:solidFill>
          </w14:textFill>
        </w:rPr>
        <w:t>是</w:t>
      </w:r>
      <w:r>
        <w:rPr>
          <w:rFonts w:hint="eastAsia" w:ascii="仿宋_GB2312" w:eastAsia="仿宋_GB2312"/>
          <w:sz w:val="32"/>
          <w:szCs w:val="32"/>
        </w:rPr>
        <w:t>开展微宣讲走基层活动。组织业务骨干走进丹水镇综合执法大队开展“微宣讲，走基层”下放乡镇行政执法权业务培训，促进了工作交流。</w:t>
      </w:r>
      <w:r>
        <w:rPr>
          <w:rFonts w:hint="eastAsia" w:ascii="仿宋_GB2312" w:eastAsia="仿宋_GB2312"/>
          <w:sz w:val="32"/>
          <w:szCs w:val="32"/>
          <w:lang w:val="en-US" w:eastAsia="zh-CN"/>
        </w:rPr>
        <w:t>四</w:t>
      </w:r>
      <w:r>
        <w:rPr>
          <w:rFonts w:hint="eastAsia" w:ascii="仿宋_GB2312" w:eastAsia="仿宋_GB2312"/>
          <w:sz w:val="32"/>
          <w:szCs w:val="32"/>
        </w:rPr>
        <w:t>是开展案卷评查，提升案卷制作能力。先后三次组织</w:t>
      </w:r>
      <w:r>
        <w:rPr>
          <w:rFonts w:hint="eastAsia" w:ascii="仿宋_GB2312" w:eastAsia="仿宋_GB2312"/>
          <w:sz w:val="32"/>
          <w:szCs w:val="32"/>
          <w:lang w:val="en-US" w:eastAsia="zh-CN"/>
        </w:rPr>
        <w:t>执法</w:t>
      </w:r>
      <w:r>
        <w:rPr>
          <w:rFonts w:hint="eastAsia" w:ascii="仿宋_GB2312" w:eastAsia="仿宋_GB2312"/>
          <w:sz w:val="32"/>
          <w:szCs w:val="32"/>
        </w:rPr>
        <w:t>队内案卷互评、参加省市县案卷评查8次，对2024年以来的案卷进行全面梳理，确保案件办理和卷宗制作质量。</w:t>
      </w:r>
    </w:p>
    <w:p w14:paraId="47564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shd w:val="clear" w:fill="FFFFFF"/>
          <w:lang w:val="en-US" w:eastAsia="zh-CN" w:bidi="ar"/>
          <w14:textFill>
            <w14:solidFill>
              <w14:schemeClr w14:val="tx1"/>
            </w14:solidFill>
          </w14:textFill>
        </w:rPr>
        <w:t>（六）</w:t>
      </w:r>
      <w:r>
        <w:rPr>
          <w:rFonts w:hint="eastAsia" w:ascii="楷体_GB2312" w:hAnsi="黑体" w:eastAsia="楷体_GB2312"/>
          <w:b/>
          <w:sz w:val="32"/>
          <w:szCs w:val="32"/>
        </w:rPr>
        <w:t>加强普法宣传，营造共治氛围</w:t>
      </w:r>
      <w:r>
        <w:rPr>
          <w:rFonts w:hint="eastAsia" w:ascii="楷体_GB2312" w:hAnsi="楷体_GB2312" w:eastAsia="楷体_GB2312" w:cs="楷体_GB2312"/>
          <w:b/>
          <w:bCs/>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以文化市场法治宣传周、打击整治养老诈骗专项行动、“护苗”宣传周、</w:t>
      </w:r>
      <w:r>
        <w:rPr>
          <w:rFonts w:hint="eastAsia" w:ascii="仿宋_GB2312" w:hAnsi="仿宋_GB2312" w:eastAsia="仿宋_GB2312" w:cs="仿宋_GB2312"/>
          <w:color w:val="000000" w:themeColor="text1"/>
          <w:spacing w:val="0"/>
          <w:kern w:val="0"/>
          <w:sz w:val="32"/>
          <w:szCs w:val="32"/>
          <w:shd w:val="clear" w:fill="FFFFFF"/>
          <w:lang w:val="en-US" w:eastAsia="zh-CN" w:bidi="ar"/>
          <w14:textFill>
            <w14:solidFill>
              <w14:schemeClr w14:val="tx1"/>
            </w14:solidFill>
          </w14:textFill>
        </w:rPr>
        <w:t>“12· 4”宪法宣传日等活动为契机，通过</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悬挂宣传横幅，</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制作法治展板、LED电子显示屏、发放宣传页等方式广泛</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开展法治宣传活动，努力营造群众知法、懂法、守法的良好氛围。</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先后</w:t>
      </w:r>
      <w:r>
        <w:rPr>
          <w:rFonts w:hint="eastAsia" w:ascii="仿宋_GB2312" w:hAnsi="仿宋_GB2312" w:eastAsia="仿宋_GB2312" w:cs="仿宋_GB2312"/>
          <w:sz w:val="32"/>
          <w:szCs w:val="32"/>
        </w:rPr>
        <w:t>赴恐龙遗迹园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老界岭</w:t>
      </w:r>
      <w:r>
        <w:rPr>
          <w:rFonts w:hint="eastAsia" w:ascii="仿宋_GB2312" w:hAnsi="仿宋_GB2312" w:eastAsia="仿宋_GB2312" w:cs="仿宋_GB2312"/>
          <w:sz w:val="32"/>
          <w:szCs w:val="32"/>
        </w:rPr>
        <w:t>“扫黄打非”工作站进行业务指导，并在景区现场向游客进行“扫黄打非”暨版权保护普法宣传活动，面对面解答游客、群众疑惑，普及“扫黄打非”法律知识，现场发放“扫黄打非”法律知识宣传折页200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份。在检查校园周边打字复印店时，同步普及《出版管理条例》、《印刷业管理条例》等法律法规知识，发放《打字复印行业“三必须”“五禁止”》折页</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份，讲解一些侵犯版权、从事非法出版活动的违规经营行为案例，要求从业单位依法依规经营，自觉抵制承印非法出版物等行为发生。分别在网吧、文体中心开展为期三天的预防未成年人沉迷网络普法宣传活动2次，共发放宣传资料</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83份，现场解答企业、群众咨询42次，形成了全社会共同参与的良好氛围。</w:t>
      </w:r>
    </w:p>
    <w:p w14:paraId="2F7B5A1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七</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）积极推行服务型执法，优化法治营商环境。</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为了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进一步优化法治营商环境，积极推进服务型行政执法，我局出台</w:t>
      </w:r>
      <w:r>
        <w:rPr>
          <w:rFonts w:hint="eastAsia" w:ascii="仿宋_GB2312" w:hAnsi="仿宋_GB2312" w:eastAsia="仿宋_GB2312" w:cs="仿宋_GB2312"/>
          <w:color w:val="000000" w:themeColor="text1"/>
          <w:sz w:val="32"/>
          <w:szCs w:val="32"/>
          <w14:textFill>
            <w14:solidFill>
              <w14:schemeClr w14:val="tx1"/>
            </w14:solidFill>
          </w14:textFill>
        </w:rPr>
        <w:t>了</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西峡县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文化广电和旅游</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局</w:t>
      </w:r>
      <w:r>
        <w:rPr>
          <w:rFonts w:hint="eastAsia" w:ascii="仿宋_GB2312" w:hAnsi="仿宋_GB2312" w:eastAsia="仿宋_GB2312" w:cs="仿宋_GB2312"/>
          <w:b w:val="0"/>
          <w:bCs w:val="0"/>
          <w:color w:val="000000" w:themeColor="text1"/>
          <w:sz w:val="32"/>
          <w:szCs w:val="32"/>
          <w14:textFill>
            <w14:solidFill>
              <w14:schemeClr w14:val="tx1"/>
            </w14:solidFill>
          </w14:textFill>
        </w:rPr>
        <w:t>轻微违法行为不予行政处罚和一般违法行为减轻行政处罚清单》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的通知</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积极推行违法风险防控宣传和四张清单宣传。</w:t>
      </w:r>
      <w:r>
        <w:rPr>
          <w:rFonts w:hint="eastAsia" w:ascii="仿宋_GB2312" w:hAnsi="仿宋_GB2312" w:eastAsia="仿宋_GB2312" w:cs="仿宋_GB2312"/>
          <w:color w:val="000000" w:themeColor="text1"/>
          <w:sz w:val="32"/>
          <w:szCs w:val="32"/>
          <w14:textFill>
            <w14:solidFill>
              <w14:schemeClr w14:val="tx1"/>
            </w14:solidFill>
          </w14:textFill>
        </w:rPr>
        <w:t>坚持指导在前、服务在前、警示在前，做好事前“体检式”服务，创新推进常态化沟通、标签式普法、门诊式服务、专题式助企“事前指导机制”，发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放</w:t>
      </w:r>
      <w:r>
        <w:rPr>
          <w:rFonts w:hint="eastAsia" w:ascii="仿宋_GB2312" w:hAnsi="仿宋_GB2312" w:eastAsia="仿宋_GB2312" w:cs="仿宋_GB2312"/>
          <w:color w:val="000000" w:themeColor="text1"/>
          <w:sz w:val="32"/>
          <w:szCs w:val="32"/>
          <w14:textFill>
            <w14:solidFill>
              <w14:schemeClr w14:val="tx1"/>
            </w14:solidFill>
          </w14:textFill>
        </w:rPr>
        <w:t>行政指导意见书，对企业经营情况进行“把脉问诊”。深化包容审慎监管，把握好执法尺度，用好事中“手术刀式”执法，通过小切口精准解决大问题，切实做到首微免罚、重违严惩、过罚相当，为企业去除病灶。开展事后“康复式”回访，制订了《文化市场行政处罚案件回访制度》和回访登记表，对违法主体跟踪服务，有针对性地送政策、送法律，做好执法“后半篇文章”，已组织对办结的案件进行回访，回访率和满意率均达100%，推动企业健康成长，落实“四书同达”制度，实现文明规范执法全过程。</w:t>
      </w:r>
    </w:p>
    <w:p w14:paraId="697552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sz w:val="32"/>
          <w:szCs w:val="32"/>
          <w:lang w:val="en-US" w:eastAsia="zh-CN"/>
        </w:rPr>
      </w:pPr>
      <w:r>
        <w:rPr>
          <w:rFonts w:hint="eastAsia" w:ascii="黑体" w:hAnsi="黑体" w:eastAsia="黑体"/>
          <w:sz w:val="32"/>
          <w:szCs w:val="32"/>
        </w:rPr>
        <w:t>二、</w:t>
      </w:r>
      <w:r>
        <w:rPr>
          <w:rFonts w:hint="eastAsia" w:ascii="黑体" w:hAnsi="黑体" w:eastAsia="黑体"/>
          <w:sz w:val="32"/>
          <w:szCs w:val="32"/>
          <w:lang w:val="en-US" w:eastAsia="zh-CN"/>
        </w:rPr>
        <w:t>存在的问题</w:t>
      </w:r>
    </w:p>
    <w:p w14:paraId="5C5DBA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一是体制不畅，编制改革不到位。</w:t>
      </w:r>
      <w:r>
        <w:rPr>
          <w:rFonts w:hint="eastAsia" w:ascii="仿宋_GB2312" w:hAnsi="仿宋_GB2312" w:eastAsia="仿宋_GB2312" w:cs="仿宋_GB2312"/>
          <w:sz w:val="32"/>
          <w:szCs w:val="32"/>
        </w:rPr>
        <w:t>大队编制改革停止，转参公无望，且长期锁编，除个别同志外，多数队员禁止流动，年龄偏大，工作动力、能力和积极性不足。</w:t>
      </w:r>
      <w:r>
        <w:rPr>
          <w:rFonts w:hint="eastAsia" w:ascii="仿宋_GB2312" w:hAnsi="仿宋_GB2312" w:eastAsia="仿宋_GB2312" w:cs="仿宋_GB2312"/>
          <w:b/>
          <w:sz w:val="32"/>
          <w:szCs w:val="32"/>
        </w:rPr>
        <w:t>二是保障不力，执法经费无预算。</w:t>
      </w:r>
      <w:r>
        <w:rPr>
          <w:rFonts w:hint="eastAsia" w:ascii="仿宋_GB2312" w:hAnsi="仿宋_GB2312" w:eastAsia="仿宋_GB2312" w:cs="仿宋_GB2312"/>
          <w:sz w:val="32"/>
          <w:szCs w:val="32"/>
        </w:rPr>
        <w:t>财政没有列支执法专项经费，</w:t>
      </w:r>
      <w:r>
        <w:rPr>
          <w:rFonts w:hint="eastAsia" w:ascii="仿宋_GB2312" w:hAnsi="仿宋_GB2312" w:eastAsia="仿宋_GB2312" w:cs="仿宋_GB2312"/>
          <w:sz w:val="32"/>
          <w:szCs w:val="32"/>
          <w:lang w:val="en-US" w:eastAsia="zh-CN"/>
        </w:rPr>
        <w:t>执法装备不足</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三是业务不精，案件查处有空白。</w:t>
      </w:r>
      <w:r>
        <w:rPr>
          <w:rFonts w:hint="eastAsia" w:ascii="仿宋_GB2312" w:hAnsi="仿宋_GB2312" w:eastAsia="仿宋_GB2312" w:cs="仿宋_GB2312"/>
          <w:sz w:val="32"/>
          <w:szCs w:val="32"/>
        </w:rPr>
        <w:t>文化市场执法涉及法律、法规、规章、规范性文件约有203部，对相应条款、规范要求掌握不够，不能够精准解读，致使案件办理多数仍局限于文化市场传统领域（如网吧、歌舞娱乐场所等），对广电、互联网文化、演出、文物、出版、电影等领域办理的案件较少。</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是</w:t>
      </w:r>
      <w:r>
        <w:rPr>
          <w:rFonts w:hint="eastAsia" w:ascii="仿宋_GB2312" w:hAnsi="仿宋_GB2312" w:eastAsia="仿宋_GB2312" w:cs="仿宋_GB2312"/>
          <w:i w:val="0"/>
          <w:iCs w:val="0"/>
          <w:caps w:val="0"/>
          <w:color w:val="000000"/>
          <w:spacing w:val="0"/>
          <w:sz w:val="32"/>
          <w:szCs w:val="32"/>
          <w:shd w:val="clear" w:fill="FFFFFF"/>
        </w:rPr>
        <w:t>法治宣传不够深入，宣传教育的深度和广度还不够</w:t>
      </w:r>
      <w:r>
        <w:rPr>
          <w:rFonts w:hint="eastAsia" w:ascii="仿宋_GB2312" w:hAnsi="仿宋_GB2312" w:eastAsia="仿宋_GB2312" w:cs="仿宋_GB2312"/>
          <w:i w:val="0"/>
          <w:iCs w:val="0"/>
          <w:caps w:val="0"/>
          <w:color w:val="000000"/>
          <w:spacing w:val="0"/>
          <w:sz w:val="32"/>
          <w:szCs w:val="32"/>
          <w:shd w:val="clear" w:fill="FFFFFF"/>
          <w:lang w:val="en-US" w:eastAsia="zh-CN"/>
        </w:rPr>
        <w:t>有力</w:t>
      </w:r>
      <w:r>
        <w:rPr>
          <w:rFonts w:hint="eastAsia" w:ascii="仿宋_GB2312" w:hAnsi="仿宋_GB2312" w:eastAsia="仿宋_GB2312" w:cs="仿宋_GB2312"/>
          <w:sz w:val="32"/>
          <w:szCs w:val="32"/>
        </w:rPr>
        <w:t>。</w:t>
      </w:r>
    </w:p>
    <w:p w14:paraId="1D59FC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rPr>
        <w:t>三、下步工作</w:t>
      </w:r>
      <w:r>
        <w:rPr>
          <w:rFonts w:hint="eastAsia" w:ascii="黑体" w:hAnsi="黑体" w:eastAsia="黑体"/>
          <w:sz w:val="32"/>
          <w:szCs w:val="32"/>
          <w:lang w:val="en-US" w:eastAsia="zh-CN"/>
        </w:rPr>
        <w:t>建议及打算</w:t>
      </w:r>
    </w:p>
    <w:p w14:paraId="6E0618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黑体" w:eastAsia="仿宋_GB2312"/>
          <w:sz w:val="32"/>
          <w:szCs w:val="32"/>
        </w:rPr>
      </w:pPr>
      <w:r>
        <w:rPr>
          <w:rFonts w:hint="eastAsia" w:ascii="仿宋_GB2312" w:hAnsi="黑体" w:eastAsia="仿宋_GB2312"/>
          <w:sz w:val="32"/>
          <w:szCs w:val="32"/>
        </w:rPr>
        <w:t>今后，</w:t>
      </w:r>
      <w:r>
        <w:rPr>
          <w:rFonts w:hint="eastAsia" w:ascii="仿宋_GB2312" w:hAnsi="黑体" w:eastAsia="仿宋_GB2312"/>
          <w:sz w:val="32"/>
          <w:szCs w:val="32"/>
          <w:lang w:val="en-US" w:eastAsia="zh-CN"/>
        </w:rPr>
        <w:t>我局</w:t>
      </w:r>
      <w:r>
        <w:rPr>
          <w:rFonts w:hint="eastAsia" w:ascii="仿宋_GB2312" w:hAnsi="黑体" w:eastAsia="仿宋_GB2312"/>
          <w:sz w:val="32"/>
          <w:szCs w:val="32"/>
        </w:rPr>
        <w:t>将继续围绕中心工作，以习近平</w:t>
      </w:r>
      <w:r>
        <w:rPr>
          <w:rFonts w:hint="eastAsia" w:ascii="仿宋_GB2312" w:hAnsi="黑体" w:eastAsia="仿宋_GB2312"/>
          <w:sz w:val="32"/>
          <w:szCs w:val="32"/>
          <w:lang w:val="en-US" w:eastAsia="zh-CN"/>
        </w:rPr>
        <w:t>法治</w:t>
      </w:r>
      <w:r>
        <w:rPr>
          <w:rFonts w:hint="eastAsia" w:ascii="仿宋_GB2312" w:hAnsi="黑体" w:eastAsia="仿宋_GB2312"/>
          <w:sz w:val="32"/>
          <w:szCs w:val="32"/>
        </w:rPr>
        <w:t>思想为指导，勇担时代使命，维护意识形态和文化安全，助力文旅高质量发展，以一域之稳服务全县发展大局。</w:t>
      </w:r>
    </w:p>
    <w:p w14:paraId="50B0FF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黑体" w:eastAsia="仿宋_GB2312"/>
          <w:sz w:val="32"/>
          <w:szCs w:val="32"/>
        </w:rPr>
      </w:pPr>
      <w:r>
        <w:rPr>
          <w:rFonts w:hint="eastAsia" w:ascii="楷体_GB2312" w:hAnsi="黑体" w:eastAsia="楷体_GB2312"/>
          <w:b/>
          <w:sz w:val="32"/>
          <w:szCs w:val="32"/>
        </w:rPr>
        <w:t>（一）加强党建引领。</w:t>
      </w:r>
      <w:r>
        <w:rPr>
          <w:rFonts w:hint="eastAsia" w:ascii="仿宋_GB2312" w:hAnsi="黑体" w:eastAsia="仿宋_GB2312"/>
          <w:sz w:val="32"/>
          <w:szCs w:val="32"/>
        </w:rPr>
        <w:t>全面贯彻落实党的二十大精神、新时代党的建设总要求，全方位提升工作质量，继续以“领跑工程”为抓手，</w:t>
      </w:r>
      <w:r>
        <w:rPr>
          <w:rFonts w:hint="eastAsia" w:ascii="仿宋_GB2312" w:hAnsi="黑体" w:eastAsia="仿宋_GB2312"/>
          <w:sz w:val="32"/>
          <w:szCs w:val="32"/>
          <w:lang w:val="en-US" w:eastAsia="zh-CN"/>
        </w:rPr>
        <w:t>加强理论学习</w:t>
      </w:r>
      <w:r>
        <w:rPr>
          <w:rFonts w:hint="eastAsia" w:ascii="仿宋_GB2312" w:hAnsi="黑体" w:eastAsia="仿宋_GB2312"/>
          <w:sz w:val="32"/>
          <w:szCs w:val="32"/>
        </w:rPr>
        <w:t>，强化</w:t>
      </w:r>
      <w:r>
        <w:rPr>
          <w:rFonts w:hint="eastAsia" w:ascii="仿宋_GB2312" w:hAnsi="黑体" w:eastAsia="仿宋_GB2312"/>
          <w:sz w:val="32"/>
          <w:szCs w:val="32"/>
          <w:lang w:val="en-US" w:eastAsia="zh-CN"/>
        </w:rPr>
        <w:t>法治思维</w:t>
      </w:r>
      <w:r>
        <w:rPr>
          <w:rFonts w:hint="eastAsia" w:ascii="仿宋_GB2312" w:hAnsi="黑体" w:eastAsia="仿宋_GB2312"/>
          <w:sz w:val="32"/>
          <w:szCs w:val="32"/>
        </w:rPr>
        <w:t>，推动</w:t>
      </w:r>
      <w:r>
        <w:rPr>
          <w:rFonts w:hint="eastAsia" w:ascii="仿宋_GB2312" w:hAnsi="黑体" w:eastAsia="仿宋_GB2312"/>
          <w:sz w:val="32"/>
          <w:szCs w:val="32"/>
          <w:lang w:val="en-US" w:eastAsia="zh-CN"/>
        </w:rPr>
        <w:t>依法行政</w:t>
      </w:r>
      <w:r>
        <w:rPr>
          <w:rFonts w:hint="eastAsia" w:ascii="仿宋_GB2312" w:hAnsi="黑体" w:eastAsia="仿宋_GB2312"/>
          <w:sz w:val="32"/>
          <w:szCs w:val="32"/>
        </w:rPr>
        <w:t>。</w:t>
      </w:r>
    </w:p>
    <w:p w14:paraId="5C70CB8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黑体" w:eastAsia="仿宋_GB2312"/>
          <w:sz w:val="32"/>
          <w:szCs w:val="32"/>
        </w:rPr>
      </w:pPr>
      <w:r>
        <w:rPr>
          <w:rFonts w:hint="eastAsia" w:ascii="楷体_GB2312" w:hAnsi="黑体" w:eastAsia="楷体_GB2312"/>
          <w:b/>
          <w:sz w:val="32"/>
          <w:szCs w:val="32"/>
        </w:rPr>
        <w:t>（二）提升执法能力。</w:t>
      </w:r>
      <w:r>
        <w:rPr>
          <w:rFonts w:hint="eastAsia" w:ascii="仿宋_GB2312" w:hAnsi="黑体" w:eastAsia="仿宋_GB2312"/>
          <w:sz w:val="32"/>
          <w:szCs w:val="32"/>
        </w:rPr>
        <w:t>以案件领域、质量双提升为目标，全面严格公正执法。常态化长效化组织岗位练兵，分类分层分级开展执法人员培训，提升执法人员专业素养。针对重点、难点、热点问题和业态开展集中办案和以案施训，在实战中提高办案能力。</w:t>
      </w:r>
    </w:p>
    <w:p w14:paraId="705B10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黑体" w:eastAsia="仿宋_GB2312"/>
          <w:sz w:val="32"/>
          <w:szCs w:val="32"/>
        </w:rPr>
      </w:pPr>
      <w:r>
        <w:rPr>
          <w:rFonts w:hint="eastAsia" w:ascii="楷体_GB2312" w:hAnsi="黑体" w:eastAsia="楷体_GB2312"/>
          <w:b/>
          <w:sz w:val="32"/>
          <w:szCs w:val="32"/>
        </w:rPr>
        <w:t>（三）抓好日常巡查。</w:t>
      </w:r>
      <w:r>
        <w:rPr>
          <w:rFonts w:hint="eastAsia" w:ascii="仿宋_GB2312" w:hAnsi="黑体" w:eastAsia="仿宋_GB2312"/>
          <w:sz w:val="32"/>
          <w:szCs w:val="32"/>
        </w:rPr>
        <w:t>统筹意识形态安全、文化内容安全，落实“六条措施”和涉企行政检查频次上限要求，突出重大节日和重要节点，开展执法大检查，维护文化市场安全稳定。深入开展新情况、新业态调研，摸清全县剧本娱乐场所、电竞酒店等行业的情况，逐步规范管理，探索有效监管模式。</w:t>
      </w:r>
    </w:p>
    <w:p w14:paraId="275938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黑体" w:eastAsia="楷体_GB2312"/>
          <w:b/>
          <w:sz w:val="32"/>
          <w:szCs w:val="32"/>
        </w:rPr>
        <w:t>（四）加强普法宣传</w:t>
      </w:r>
      <w:r>
        <w:rPr>
          <w:rFonts w:hint="eastAsia" w:ascii="楷体_GB2312" w:hAnsi="黑体" w:eastAsia="楷体_GB2312"/>
          <w:b/>
          <w:sz w:val="32"/>
          <w:szCs w:val="32"/>
          <w:lang w:eastAsia="zh-CN"/>
        </w:rPr>
        <w:t>，</w:t>
      </w:r>
      <w:r>
        <w:rPr>
          <w:rFonts w:hint="eastAsia" w:ascii="楷体_GB2312" w:hAnsi="黑体" w:eastAsia="楷体_GB2312"/>
          <w:b/>
          <w:sz w:val="32"/>
          <w:szCs w:val="32"/>
        </w:rPr>
        <w:t>践行服务型执法。</w:t>
      </w:r>
      <w:r>
        <w:rPr>
          <w:rFonts w:hint="eastAsia" w:ascii="仿宋_GB2312" w:hAnsi="黑体" w:eastAsia="仿宋_GB2312"/>
          <w:sz w:val="32"/>
          <w:szCs w:val="32"/>
        </w:rPr>
        <w:t>加强服务意识，在行政执法过程中同步开展行政指导服务、普法宣传教育，引导经营主体自觉遵守法律法规规定，共同维护好良好的市场经营秩序，实现行政执法法律效果和社会效果的统一。</w:t>
      </w:r>
      <w:r>
        <w:rPr>
          <w:rFonts w:hint="eastAsia" w:ascii="仿宋" w:hAnsi="仿宋" w:eastAsia="仿宋" w:cs="仿宋"/>
          <w:color w:val="000000" w:themeColor="text1"/>
          <w:sz w:val="32"/>
          <w:szCs w:val="32"/>
          <w:lang w:val="en-US" w:eastAsia="zh-CN"/>
          <w14:textFill>
            <w14:solidFill>
              <w14:schemeClr w14:val="tx1"/>
            </w14:solidFill>
          </w14:textFill>
        </w:rPr>
        <w:t>加强“双随机一公开”常态化监管机制，</w:t>
      </w:r>
      <w:r>
        <w:rPr>
          <w:rFonts w:hint="eastAsia" w:ascii="仿宋" w:hAnsi="仿宋" w:eastAsia="仿宋" w:cs="仿宋"/>
          <w:color w:val="000000" w:themeColor="text1"/>
          <w:spacing w:val="0"/>
          <w:kern w:val="0"/>
          <w:sz w:val="32"/>
          <w:szCs w:val="32"/>
          <w:shd w:val="clear" w:fill="FFFFFF"/>
          <w:lang w:val="en-US" w:eastAsia="zh-CN" w:bidi="ar"/>
          <w14:textFill>
            <w14:solidFill>
              <w14:schemeClr w14:val="tx1"/>
            </w14:solidFill>
          </w14:textFill>
        </w:rPr>
        <w:t>全面树立依法行政、执法为民的新形象，为助力文旅高质量发展赋能。</w:t>
      </w:r>
    </w:p>
    <w:p w14:paraId="1C054C6C">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4B9BAC0F">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p>
    <w:p w14:paraId="26AD55E0">
      <w:pPr>
        <w:spacing w:line="560" w:lineRule="exact"/>
        <w:ind w:firstLine="4480" w:firstLineChars="14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西峡县文化广电和旅游局</w:t>
      </w:r>
    </w:p>
    <w:p w14:paraId="379F0B18">
      <w:pPr>
        <w:spacing w:line="560" w:lineRule="exact"/>
        <w:ind w:firstLine="5120" w:firstLineChars="16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2026年1月6日</w:t>
      </w:r>
    </w:p>
    <w:p w14:paraId="30CCF02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sectPr>
      <w:footerReference r:id="rId3" w:type="default"/>
      <w:pgSz w:w="11906" w:h="16838"/>
      <w:pgMar w:top="187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66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0E4E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60E4E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jFkZmUyNjc0ZDQwNjA0OTdjYjYzODVjNjlhMDgifQ=="/>
  </w:docVars>
  <w:rsids>
    <w:rsidRoot w:val="31EF3E00"/>
    <w:rsid w:val="01B817B7"/>
    <w:rsid w:val="02810A7C"/>
    <w:rsid w:val="030C2EE5"/>
    <w:rsid w:val="031921BA"/>
    <w:rsid w:val="031C0676"/>
    <w:rsid w:val="049E4B2F"/>
    <w:rsid w:val="04B27882"/>
    <w:rsid w:val="04B37D9D"/>
    <w:rsid w:val="05377EAE"/>
    <w:rsid w:val="058A409D"/>
    <w:rsid w:val="05A51F6F"/>
    <w:rsid w:val="061F7278"/>
    <w:rsid w:val="07DA0CE9"/>
    <w:rsid w:val="080A4703"/>
    <w:rsid w:val="086846D4"/>
    <w:rsid w:val="08A928DD"/>
    <w:rsid w:val="09B53EDC"/>
    <w:rsid w:val="0AB443DC"/>
    <w:rsid w:val="0B3B3622"/>
    <w:rsid w:val="0B92135E"/>
    <w:rsid w:val="0BC96999"/>
    <w:rsid w:val="0C0B4257"/>
    <w:rsid w:val="0C3831EB"/>
    <w:rsid w:val="0C93221E"/>
    <w:rsid w:val="0CF12D1E"/>
    <w:rsid w:val="0E015D7A"/>
    <w:rsid w:val="0E3C7C6C"/>
    <w:rsid w:val="0F1432F9"/>
    <w:rsid w:val="0F3A35A3"/>
    <w:rsid w:val="0F620202"/>
    <w:rsid w:val="0FEA38EC"/>
    <w:rsid w:val="10C6414E"/>
    <w:rsid w:val="113C17EA"/>
    <w:rsid w:val="11B300AB"/>
    <w:rsid w:val="11F25A36"/>
    <w:rsid w:val="11F5087B"/>
    <w:rsid w:val="128B3251"/>
    <w:rsid w:val="12BE3627"/>
    <w:rsid w:val="13A61088"/>
    <w:rsid w:val="13E31A6E"/>
    <w:rsid w:val="141B2B05"/>
    <w:rsid w:val="15AA0EC8"/>
    <w:rsid w:val="15B9406D"/>
    <w:rsid w:val="16150360"/>
    <w:rsid w:val="16425C4E"/>
    <w:rsid w:val="16623131"/>
    <w:rsid w:val="166B7621"/>
    <w:rsid w:val="1672186C"/>
    <w:rsid w:val="16722021"/>
    <w:rsid w:val="16FC1BA1"/>
    <w:rsid w:val="178B12A4"/>
    <w:rsid w:val="1865525D"/>
    <w:rsid w:val="1A190D43"/>
    <w:rsid w:val="1A554870"/>
    <w:rsid w:val="1A613B56"/>
    <w:rsid w:val="1AD73359"/>
    <w:rsid w:val="1B035ECB"/>
    <w:rsid w:val="1B3448E5"/>
    <w:rsid w:val="1B6E0BFA"/>
    <w:rsid w:val="1B915B0D"/>
    <w:rsid w:val="1C0227D6"/>
    <w:rsid w:val="1C332BD1"/>
    <w:rsid w:val="1C3C46D5"/>
    <w:rsid w:val="1C8377E1"/>
    <w:rsid w:val="1CC208CD"/>
    <w:rsid w:val="1D3B4BAE"/>
    <w:rsid w:val="1DFD4F1C"/>
    <w:rsid w:val="1E4E4925"/>
    <w:rsid w:val="1EAE0854"/>
    <w:rsid w:val="1FAE408D"/>
    <w:rsid w:val="1FE631DC"/>
    <w:rsid w:val="1FE8433D"/>
    <w:rsid w:val="210100F0"/>
    <w:rsid w:val="22596301"/>
    <w:rsid w:val="226C0787"/>
    <w:rsid w:val="22A33A80"/>
    <w:rsid w:val="23363833"/>
    <w:rsid w:val="24E27EA4"/>
    <w:rsid w:val="253243F8"/>
    <w:rsid w:val="25C055B3"/>
    <w:rsid w:val="26070680"/>
    <w:rsid w:val="26862EDB"/>
    <w:rsid w:val="269E52C1"/>
    <w:rsid w:val="26BA311B"/>
    <w:rsid w:val="26BC632A"/>
    <w:rsid w:val="26BE72FA"/>
    <w:rsid w:val="282B140C"/>
    <w:rsid w:val="288E0066"/>
    <w:rsid w:val="28E91A59"/>
    <w:rsid w:val="295E3951"/>
    <w:rsid w:val="29DE3058"/>
    <w:rsid w:val="2A605BFB"/>
    <w:rsid w:val="2A6368C9"/>
    <w:rsid w:val="2AAB3B5D"/>
    <w:rsid w:val="2BB0260B"/>
    <w:rsid w:val="2BC71FFA"/>
    <w:rsid w:val="2CAE4176"/>
    <w:rsid w:val="2CB84A17"/>
    <w:rsid w:val="2D8A262B"/>
    <w:rsid w:val="2DEB60C1"/>
    <w:rsid w:val="2F43018D"/>
    <w:rsid w:val="2F821C65"/>
    <w:rsid w:val="30573E81"/>
    <w:rsid w:val="30831250"/>
    <w:rsid w:val="30D727CD"/>
    <w:rsid w:val="31C22A8A"/>
    <w:rsid w:val="31EF3E00"/>
    <w:rsid w:val="32573A9A"/>
    <w:rsid w:val="334237F8"/>
    <w:rsid w:val="33FD1320"/>
    <w:rsid w:val="3465521C"/>
    <w:rsid w:val="34FC6F65"/>
    <w:rsid w:val="352B49B2"/>
    <w:rsid w:val="35431B5C"/>
    <w:rsid w:val="35BC2377"/>
    <w:rsid w:val="36027D2D"/>
    <w:rsid w:val="36100D36"/>
    <w:rsid w:val="37DB5520"/>
    <w:rsid w:val="38015696"/>
    <w:rsid w:val="38466944"/>
    <w:rsid w:val="39252451"/>
    <w:rsid w:val="39CC61F9"/>
    <w:rsid w:val="3A05406F"/>
    <w:rsid w:val="3AB1590E"/>
    <w:rsid w:val="3ACE2ED2"/>
    <w:rsid w:val="3B5D610A"/>
    <w:rsid w:val="3C2429E1"/>
    <w:rsid w:val="3CA35ABD"/>
    <w:rsid w:val="3CB4437C"/>
    <w:rsid w:val="3CEA123C"/>
    <w:rsid w:val="3D08320A"/>
    <w:rsid w:val="3D231ECB"/>
    <w:rsid w:val="3D2B5078"/>
    <w:rsid w:val="3DD80C77"/>
    <w:rsid w:val="3DDF7BD6"/>
    <w:rsid w:val="3E5D6646"/>
    <w:rsid w:val="3E602DE9"/>
    <w:rsid w:val="3EBD320A"/>
    <w:rsid w:val="3F866622"/>
    <w:rsid w:val="3F8B4737"/>
    <w:rsid w:val="3FD41FF2"/>
    <w:rsid w:val="404204DE"/>
    <w:rsid w:val="40F22F60"/>
    <w:rsid w:val="41197656"/>
    <w:rsid w:val="412A1D0D"/>
    <w:rsid w:val="41483ACE"/>
    <w:rsid w:val="41AB48D9"/>
    <w:rsid w:val="41AD023F"/>
    <w:rsid w:val="420E1931"/>
    <w:rsid w:val="420F57B9"/>
    <w:rsid w:val="4323086E"/>
    <w:rsid w:val="44CA17DF"/>
    <w:rsid w:val="44DE252F"/>
    <w:rsid w:val="44DE6175"/>
    <w:rsid w:val="44FD1535"/>
    <w:rsid w:val="450363EA"/>
    <w:rsid w:val="451F004F"/>
    <w:rsid w:val="454650DA"/>
    <w:rsid w:val="455C15E2"/>
    <w:rsid w:val="45D03A9B"/>
    <w:rsid w:val="46423071"/>
    <w:rsid w:val="47765518"/>
    <w:rsid w:val="489B1F49"/>
    <w:rsid w:val="48C0183A"/>
    <w:rsid w:val="48E2285E"/>
    <w:rsid w:val="4938618C"/>
    <w:rsid w:val="49575660"/>
    <w:rsid w:val="49AC618B"/>
    <w:rsid w:val="4B966CAF"/>
    <w:rsid w:val="4B98133E"/>
    <w:rsid w:val="4C2E4772"/>
    <w:rsid w:val="4CDC069F"/>
    <w:rsid w:val="4CEB057B"/>
    <w:rsid w:val="4D562911"/>
    <w:rsid w:val="4D654BBA"/>
    <w:rsid w:val="4DA30D4D"/>
    <w:rsid w:val="4E9702AC"/>
    <w:rsid w:val="4E9C2BA8"/>
    <w:rsid w:val="4EBE208F"/>
    <w:rsid w:val="4EDA0963"/>
    <w:rsid w:val="504866B5"/>
    <w:rsid w:val="506D45E6"/>
    <w:rsid w:val="51363762"/>
    <w:rsid w:val="518C687F"/>
    <w:rsid w:val="51E3630C"/>
    <w:rsid w:val="52147B45"/>
    <w:rsid w:val="5338724D"/>
    <w:rsid w:val="538A4CE1"/>
    <w:rsid w:val="5392004D"/>
    <w:rsid w:val="53AE55C3"/>
    <w:rsid w:val="54577802"/>
    <w:rsid w:val="547F5A6B"/>
    <w:rsid w:val="54B31323"/>
    <w:rsid w:val="54E555C7"/>
    <w:rsid w:val="54EA1BBC"/>
    <w:rsid w:val="55140717"/>
    <w:rsid w:val="55181589"/>
    <w:rsid w:val="55873E1E"/>
    <w:rsid w:val="559C7E9D"/>
    <w:rsid w:val="55B17273"/>
    <w:rsid w:val="570C5424"/>
    <w:rsid w:val="571429B8"/>
    <w:rsid w:val="579423AF"/>
    <w:rsid w:val="57CC3AA3"/>
    <w:rsid w:val="586A4BD3"/>
    <w:rsid w:val="58B62BF7"/>
    <w:rsid w:val="58BC2C3A"/>
    <w:rsid w:val="58C96218"/>
    <w:rsid w:val="599107E6"/>
    <w:rsid w:val="5B2B3936"/>
    <w:rsid w:val="5B504EF2"/>
    <w:rsid w:val="5B612589"/>
    <w:rsid w:val="5CF209FF"/>
    <w:rsid w:val="5D1779C9"/>
    <w:rsid w:val="5D2D7432"/>
    <w:rsid w:val="5D4001E7"/>
    <w:rsid w:val="5D547238"/>
    <w:rsid w:val="5E4C480F"/>
    <w:rsid w:val="5E7B359C"/>
    <w:rsid w:val="5E9B3A52"/>
    <w:rsid w:val="5F382411"/>
    <w:rsid w:val="5FBF4F23"/>
    <w:rsid w:val="607E307A"/>
    <w:rsid w:val="614219C4"/>
    <w:rsid w:val="62293545"/>
    <w:rsid w:val="627D1FC5"/>
    <w:rsid w:val="62807FE5"/>
    <w:rsid w:val="62886B40"/>
    <w:rsid w:val="62AA7F6B"/>
    <w:rsid w:val="62EE0C6E"/>
    <w:rsid w:val="63543E6F"/>
    <w:rsid w:val="63951273"/>
    <w:rsid w:val="64212D54"/>
    <w:rsid w:val="644852AC"/>
    <w:rsid w:val="65257580"/>
    <w:rsid w:val="65755921"/>
    <w:rsid w:val="657C6BE0"/>
    <w:rsid w:val="66325D6F"/>
    <w:rsid w:val="66BD7100"/>
    <w:rsid w:val="66C1761F"/>
    <w:rsid w:val="67012ED1"/>
    <w:rsid w:val="672203E0"/>
    <w:rsid w:val="67B16D17"/>
    <w:rsid w:val="67F145F3"/>
    <w:rsid w:val="68436A1F"/>
    <w:rsid w:val="68581629"/>
    <w:rsid w:val="68A926B9"/>
    <w:rsid w:val="68B73B4F"/>
    <w:rsid w:val="693F1D47"/>
    <w:rsid w:val="69520861"/>
    <w:rsid w:val="695E76D4"/>
    <w:rsid w:val="698142F3"/>
    <w:rsid w:val="69954F4A"/>
    <w:rsid w:val="6A643486"/>
    <w:rsid w:val="6AAC6570"/>
    <w:rsid w:val="6B4F25C4"/>
    <w:rsid w:val="6B9655A1"/>
    <w:rsid w:val="6B9A0C3B"/>
    <w:rsid w:val="6BCE49A3"/>
    <w:rsid w:val="6C0F5729"/>
    <w:rsid w:val="6C171901"/>
    <w:rsid w:val="6C2D4839"/>
    <w:rsid w:val="6C580C23"/>
    <w:rsid w:val="6C787FB3"/>
    <w:rsid w:val="6D5854C3"/>
    <w:rsid w:val="6D591215"/>
    <w:rsid w:val="6DBA26C6"/>
    <w:rsid w:val="6DC65B50"/>
    <w:rsid w:val="6DD441F1"/>
    <w:rsid w:val="6DFB56F4"/>
    <w:rsid w:val="6E7778D6"/>
    <w:rsid w:val="6E8801BE"/>
    <w:rsid w:val="6FC61B46"/>
    <w:rsid w:val="70441100"/>
    <w:rsid w:val="70B45914"/>
    <w:rsid w:val="70C34675"/>
    <w:rsid w:val="712A17B9"/>
    <w:rsid w:val="71493223"/>
    <w:rsid w:val="71AD6B35"/>
    <w:rsid w:val="71C65B5A"/>
    <w:rsid w:val="72671C5B"/>
    <w:rsid w:val="72BF3491"/>
    <w:rsid w:val="72D4093C"/>
    <w:rsid w:val="737C3564"/>
    <w:rsid w:val="742D420C"/>
    <w:rsid w:val="745D75EB"/>
    <w:rsid w:val="75454D37"/>
    <w:rsid w:val="754A33BA"/>
    <w:rsid w:val="75E40AA1"/>
    <w:rsid w:val="77332747"/>
    <w:rsid w:val="77873466"/>
    <w:rsid w:val="790B4E24"/>
    <w:rsid w:val="793B7F93"/>
    <w:rsid w:val="79A54CFF"/>
    <w:rsid w:val="7A994F18"/>
    <w:rsid w:val="7B30197B"/>
    <w:rsid w:val="7B782DB5"/>
    <w:rsid w:val="7B811F45"/>
    <w:rsid w:val="7B82553A"/>
    <w:rsid w:val="7B8B65A4"/>
    <w:rsid w:val="7BAE1150"/>
    <w:rsid w:val="7DD16AED"/>
    <w:rsid w:val="7DE41D35"/>
    <w:rsid w:val="7DEA21F8"/>
    <w:rsid w:val="7E5037EB"/>
    <w:rsid w:val="7E5B7AA7"/>
    <w:rsid w:val="7F4F73E3"/>
    <w:rsid w:val="7F7A47EB"/>
    <w:rsid w:val="7FF5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80" w:after="18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ca-6"/>
    <w:basedOn w:val="8"/>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3802</Words>
  <Characters>3850</Characters>
  <Lines>0</Lines>
  <Paragraphs>0</Paragraphs>
  <TotalTime>6</TotalTime>
  <ScaleCrop>false</ScaleCrop>
  <LinksUpToDate>false</LinksUpToDate>
  <CharactersWithSpaces>3857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2020-12-24T01:50:00Z</dcterms:created>
  <dc:creator>张元则</dc:creator>
  <cp:lastModifiedBy>lee</cp:lastModifiedBy>
  <cp:lastPrinted>2023-02-24T00:35:00Z</cp:lastPrinted>
  <dcterms:modified xsi:type="dcterms:W3CDTF">2026-02-05T07:11:35Z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307A600887384F7A8C4DCD9A037A5843_13</vt:lpwstr>
  </property>
  <property fmtid="{D5CDD505-2E9C-101B-9397-08002B2CF9AE}" pid="4" name="KSOTemplateDocerSaveRecord">
    <vt:lpwstr>eyJoZGlkIjoiNGY0YjFkZmUyNjc0ZDQwNjA0OTdjYjYzODVjNjlhMDgiLCJ1c2VySWQiOiI2OTI3NzIxMjkifQ==</vt:lpwstr>
  </property>
</Properties>
</file>