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68"/>
        <w:gridCol w:w="5316"/>
      </w:tblGrid>
      <w:tr w14:paraId="69D0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11" w:type="dxa"/>
            <w:gridSpan w:val="3"/>
            <w:tcBorders>
              <w:top w:val="nil"/>
              <w:left w:val="nil"/>
              <w:right w:val="nil"/>
            </w:tcBorders>
            <w:vAlign w:val="center"/>
          </w:tcPr>
          <w:p w14:paraId="5F0BF0AC">
            <w:pPr>
              <w:tabs>
                <w:tab w:val="left" w:pos="4620"/>
              </w:tabs>
              <w:jc w:val="center"/>
              <w:rPr>
                <w:rFonts w:hint="eastAsia"/>
                <w:lang w:eastAsia="zh-CN"/>
              </w:rPr>
            </w:pPr>
            <w:r>
              <w:rPr>
                <w:rFonts w:hint="eastAsia"/>
                <w:sz w:val="28"/>
                <w:szCs w:val="36"/>
                <w:lang w:eastAsia="zh-CN"/>
              </w:rPr>
              <w:t>检查事项和依据</w:t>
            </w:r>
            <w:bookmarkStart w:id="0" w:name="_GoBack"/>
            <w:bookmarkEnd w:id="0"/>
          </w:p>
        </w:tc>
      </w:tr>
      <w:tr w14:paraId="22AD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27" w:type="dxa"/>
          </w:tcPr>
          <w:p w14:paraId="3E96D444">
            <w:pPr>
              <w:jc w:val="center"/>
              <w:rPr>
                <w:rFonts w:hint="eastAsia" w:eastAsiaTheme="minorEastAsia"/>
                <w:lang w:eastAsia="zh-CN"/>
              </w:rPr>
            </w:pPr>
            <w:r>
              <w:rPr>
                <w:rFonts w:hint="eastAsia"/>
                <w:lang w:eastAsia="zh-CN"/>
              </w:rPr>
              <w:t>序号</w:t>
            </w:r>
          </w:p>
        </w:tc>
        <w:tc>
          <w:tcPr>
            <w:tcW w:w="2568" w:type="dxa"/>
          </w:tcPr>
          <w:p w14:paraId="6B6AD3B8">
            <w:pPr>
              <w:jc w:val="center"/>
              <w:rPr>
                <w:rFonts w:hint="eastAsia" w:eastAsiaTheme="minorEastAsia"/>
                <w:lang w:eastAsia="zh-CN"/>
              </w:rPr>
            </w:pPr>
            <w:r>
              <w:rPr>
                <w:rFonts w:hint="eastAsia"/>
                <w:lang w:eastAsia="zh-CN"/>
              </w:rPr>
              <w:t>行政检查事项名称</w:t>
            </w:r>
          </w:p>
        </w:tc>
        <w:tc>
          <w:tcPr>
            <w:tcW w:w="5316" w:type="dxa"/>
          </w:tcPr>
          <w:p w14:paraId="5BBC6243">
            <w:pPr>
              <w:jc w:val="center"/>
              <w:rPr>
                <w:rFonts w:hint="eastAsia" w:eastAsiaTheme="minorEastAsia"/>
                <w:lang w:eastAsia="zh-CN"/>
              </w:rPr>
            </w:pPr>
            <w:r>
              <w:rPr>
                <w:rFonts w:hint="eastAsia"/>
                <w:lang w:eastAsia="zh-CN"/>
              </w:rPr>
              <w:t>依据</w:t>
            </w:r>
          </w:p>
        </w:tc>
      </w:tr>
      <w:tr w14:paraId="0007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tcPr>
          <w:p w14:paraId="7BBF083B">
            <w:pPr>
              <w:numPr>
                <w:ilvl w:val="0"/>
                <w:numId w:val="1"/>
              </w:numPr>
              <w:ind w:left="425" w:leftChars="0" w:hanging="425" w:firstLineChars="0"/>
              <w:rPr>
                <w:rFonts w:hint="eastAsia" w:eastAsiaTheme="minorEastAsia"/>
                <w:lang w:val="en-US" w:eastAsia="zh-CN"/>
              </w:rPr>
            </w:pPr>
          </w:p>
        </w:tc>
        <w:tc>
          <w:tcPr>
            <w:tcW w:w="2568" w:type="dxa"/>
          </w:tcPr>
          <w:p w14:paraId="3E6BD16C">
            <w:r>
              <w:rPr>
                <w:rFonts w:hint="eastAsia"/>
              </w:rPr>
              <w:t>社会保险经办机构、社会保险费征收机构、社会保险基金投资运营机构、开设社会保险基金专户的机构和专户管理银行及其工作人员是否违反国家规定的投资运营政策</w:t>
            </w:r>
          </w:p>
        </w:tc>
        <w:tc>
          <w:tcPr>
            <w:tcW w:w="5316" w:type="dxa"/>
          </w:tcPr>
          <w:p w14:paraId="70828F44">
            <w:r>
              <w:rPr>
                <w:rFonts w:hint="eastAsia"/>
              </w:rPr>
              <w:t>《实施〈中华人民共和国社会保险法〉若干规定(2011)》第二十六条第六项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（六）违反国家规定的投资运营政策的。</w:t>
            </w:r>
          </w:p>
        </w:tc>
      </w:tr>
      <w:tr w14:paraId="731B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0E3AF449">
            <w:pPr>
              <w:numPr>
                <w:ilvl w:val="0"/>
                <w:numId w:val="1"/>
              </w:numPr>
              <w:ind w:left="425" w:leftChars="0" w:hanging="425" w:firstLineChars="0"/>
              <w:rPr>
                <w:rFonts w:hint="eastAsia"/>
              </w:rPr>
            </w:pPr>
          </w:p>
        </w:tc>
        <w:tc>
          <w:tcPr>
            <w:tcW w:w="2568" w:type="dxa"/>
          </w:tcPr>
          <w:p w14:paraId="7FC42885">
            <w:r>
              <w:rPr>
                <w:rFonts w:hint="eastAsia"/>
              </w:rPr>
              <w:t>社会保险经办机构、社会保险费征收机构、社会保险基金投资运营机构、开设社会保险基金专户的机构和专户管理银行及其工作人员是否将社会保险基金用于平衡财政预算，兴建、改建办公场所和支付人员经费、运行费用、管理费用</w:t>
            </w:r>
          </w:p>
        </w:tc>
        <w:tc>
          <w:tcPr>
            <w:tcW w:w="5316" w:type="dxa"/>
          </w:tcPr>
          <w:p w14:paraId="168F08CB">
            <w:r>
              <w:rPr>
                <w:rFonts w:hint="eastAsia"/>
              </w:rPr>
              <w:t>《实施〈中华人民共和国社会保险法〉若干规定(2011)》第二十六条第五项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（五）将社会保险基金用于平衡财政预算，兴建、改建办公场所和支付人员经费、运行费用、管理费用的；</w:t>
            </w:r>
          </w:p>
        </w:tc>
      </w:tr>
      <w:tr w14:paraId="364B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C5D9349">
            <w:pPr>
              <w:numPr>
                <w:ilvl w:val="0"/>
                <w:numId w:val="1"/>
              </w:numPr>
              <w:ind w:left="425" w:leftChars="0" w:hanging="425" w:firstLineChars="0"/>
              <w:rPr>
                <w:rFonts w:hint="eastAsia"/>
              </w:rPr>
            </w:pPr>
          </w:p>
        </w:tc>
        <w:tc>
          <w:tcPr>
            <w:tcW w:w="2568" w:type="dxa"/>
          </w:tcPr>
          <w:p w14:paraId="785C4B72">
            <w:r>
              <w:rPr>
                <w:rFonts w:hint="eastAsia"/>
              </w:rPr>
              <w:t>社会保险经办机构、社会保险费征收机构、社会保险基金投资运营机构、开设社会保险基金专户的机构和专户管理银行及其工作人员是否将各项社会保险基金互相挤占或者其他社会保障基金挤占社会保险基金</w:t>
            </w:r>
          </w:p>
        </w:tc>
        <w:tc>
          <w:tcPr>
            <w:tcW w:w="5316" w:type="dxa"/>
          </w:tcPr>
          <w:p w14:paraId="68E7A01F">
            <w:r>
              <w:rPr>
                <w:rFonts w:hint="eastAsia"/>
              </w:rPr>
              <w:t>《实施〈中华人民共和国社会保险法〉若干规定(2011)》第二十六条第四项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（四）将各项社会保险基金互相挤占或者其他社会保障基金挤占社会保险基金的；</w:t>
            </w:r>
          </w:p>
        </w:tc>
      </w:tr>
      <w:tr w14:paraId="4654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727" w:type="dxa"/>
          </w:tcPr>
          <w:p w14:paraId="69D150F3">
            <w:pPr>
              <w:numPr>
                <w:ilvl w:val="0"/>
                <w:numId w:val="1"/>
              </w:numPr>
              <w:ind w:left="425" w:leftChars="0" w:hanging="425" w:firstLineChars="0"/>
              <w:rPr>
                <w:rFonts w:hint="eastAsia"/>
              </w:rPr>
            </w:pPr>
          </w:p>
        </w:tc>
        <w:tc>
          <w:tcPr>
            <w:tcW w:w="2568" w:type="dxa"/>
          </w:tcPr>
          <w:p w14:paraId="374445AF">
            <w:r>
              <w:rPr>
                <w:rFonts w:hint="eastAsia"/>
              </w:rPr>
              <w:t>社会保险经办机构、社会保险费征收机构、社会保险基金投资运营机构、开设社会保险基金专户的机构和专户管理银行及其工作人员是否侵吞社会保险基金</w:t>
            </w:r>
          </w:p>
        </w:tc>
        <w:tc>
          <w:tcPr>
            <w:tcW w:w="5316" w:type="dxa"/>
          </w:tcPr>
          <w:p w14:paraId="63826E8B">
            <w:r>
              <w:rPr>
                <w:rFonts w:hint="eastAsia"/>
              </w:rPr>
              <w:t>《实施〈中华人民共和国社会保险法〉若干规定(2011)》第二十六条第三项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（三）侵吞社会保险基金的；</w:t>
            </w:r>
          </w:p>
        </w:tc>
      </w:tr>
      <w:tr w14:paraId="5D8F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7FB6E58D">
            <w:pPr>
              <w:numPr>
                <w:ilvl w:val="0"/>
                <w:numId w:val="1"/>
              </w:numPr>
              <w:ind w:left="425" w:leftChars="0" w:hanging="425" w:firstLineChars="0"/>
              <w:rPr>
                <w:rFonts w:hint="eastAsia"/>
              </w:rPr>
            </w:pPr>
          </w:p>
        </w:tc>
        <w:tc>
          <w:tcPr>
            <w:tcW w:w="2568" w:type="dxa"/>
          </w:tcPr>
          <w:p w14:paraId="5CBF6603">
            <w:r>
              <w:rPr>
                <w:rFonts w:hint="eastAsia"/>
              </w:rPr>
              <w:t>社会保险经办机构、社会保险费征收机构、社会保险基金投资运营机构、开设社会保险基金专户的机构和专户管理银行及其工作人员是否将社会保险基金转入社会保险基金专户以外的账户</w:t>
            </w:r>
          </w:p>
        </w:tc>
        <w:tc>
          <w:tcPr>
            <w:tcW w:w="5316" w:type="dxa"/>
          </w:tcPr>
          <w:p w14:paraId="1D5890CF">
            <w:r>
              <w:rPr>
                <w:rFonts w:hint="eastAsia"/>
              </w:rPr>
              <w:t>《实施〈中华人民共和国社会保险法〉若干规定(2011)》第二十六条第二项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（二）违规将社会保险基金转入社会保险基金专户以外的账户的；</w:t>
            </w:r>
          </w:p>
        </w:tc>
      </w:tr>
      <w:tr w14:paraId="7629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16004434">
            <w:pPr>
              <w:numPr>
                <w:ilvl w:val="0"/>
                <w:numId w:val="1"/>
              </w:numPr>
              <w:ind w:left="425" w:leftChars="0" w:hanging="425" w:firstLineChars="0"/>
              <w:rPr>
                <w:rFonts w:hint="eastAsia"/>
              </w:rPr>
            </w:pPr>
          </w:p>
        </w:tc>
        <w:tc>
          <w:tcPr>
            <w:tcW w:w="2568" w:type="dxa"/>
          </w:tcPr>
          <w:p w14:paraId="7E7FD799">
            <w:r>
              <w:rPr>
                <w:rFonts w:hint="eastAsia"/>
              </w:rPr>
              <w:t>社会保险经办机构、社会保险费征收机构、社会保险基金投资运营机构、开设社会保险基金专户的机构和专户管理银行及其工作人员是否将应征和已征的社会保险基金采取隐藏、非法放置等手段未按规定征缴、入账</w:t>
            </w:r>
          </w:p>
        </w:tc>
        <w:tc>
          <w:tcPr>
            <w:tcW w:w="5316" w:type="dxa"/>
          </w:tcPr>
          <w:p w14:paraId="4D685694">
            <w:r>
              <w:rPr>
                <w:rFonts w:hint="eastAsia"/>
              </w:rPr>
              <w:t>《实施〈中华人民共和国社会保险法〉若干规定(2011)》第二十六条第一项</w:t>
            </w:r>
            <w:r>
              <w:rPr>
                <w:rFonts w:hint="eastAsia"/>
              </w:rPr>
              <w:tab/>
            </w:r>
            <w:r>
              <w:rPr>
                <w:rFonts w:hint="eastAsia"/>
              </w:rPr>
              <w:t>社会保险经办机构、社会保险费征收机构、社会保险基金投资运营机构、开设社会保险基金专户的机构和专户管理银行及其工作人员有下列违法情形的，由社会保险行政部门按照社会保险法第九十一条的规定查处： （一）将应征和已征的社会保险基金，采取隐藏、非法放置等手段，未按规定征缴、入账的；</w:t>
            </w:r>
          </w:p>
        </w:tc>
      </w:tr>
      <w:tr w14:paraId="3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5B7B525E">
            <w:pPr>
              <w:numPr>
                <w:ilvl w:val="0"/>
                <w:numId w:val="1"/>
              </w:numPr>
              <w:ind w:left="425" w:leftChars="0" w:hanging="425" w:firstLineChars="0"/>
              <w:rPr>
                <w:rFonts w:hint="eastAsia"/>
              </w:rPr>
            </w:pPr>
          </w:p>
        </w:tc>
        <w:tc>
          <w:tcPr>
            <w:tcW w:w="2568" w:type="dxa"/>
          </w:tcPr>
          <w:p w14:paraId="1E1BA5FC">
            <w:r>
              <w:rPr>
                <w:rFonts w:hint="eastAsia"/>
              </w:rPr>
              <w:t>定点医药机构是否违反诊疗规范过度诊疗、过度检查、分解处方、超量开药、重复开药或者提供其他不必要的医药服务</w:t>
            </w:r>
          </w:p>
        </w:tc>
        <w:tc>
          <w:tcPr>
            <w:tcW w:w="5316" w:type="dxa"/>
          </w:tcPr>
          <w:p w14:paraId="0C3CFC35">
            <w:r>
              <w:rPr>
                <w:rFonts w:hint="eastAsia"/>
              </w:rPr>
              <w:t>《医疗保障基金使用监督管理条例(2021)》第十五条第一款</w:t>
            </w:r>
            <w:r>
              <w:rPr>
                <w:rFonts w:hint="eastAsia"/>
              </w:rPr>
              <w:tab/>
            </w:r>
            <w:r>
              <w:rPr>
                <w:rFonts w:hint="eastAsia"/>
              </w:rPr>
              <w:t>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322B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727" w:type="dxa"/>
          </w:tcPr>
          <w:p w14:paraId="2AD5880A">
            <w:pPr>
              <w:numPr>
                <w:ilvl w:val="0"/>
                <w:numId w:val="1"/>
              </w:numPr>
              <w:ind w:left="425" w:leftChars="0" w:hanging="425" w:firstLineChars="0"/>
              <w:rPr>
                <w:rFonts w:hint="eastAsia"/>
              </w:rPr>
            </w:pPr>
          </w:p>
        </w:tc>
        <w:tc>
          <w:tcPr>
            <w:tcW w:w="2568" w:type="dxa"/>
          </w:tcPr>
          <w:p w14:paraId="2B9A4AF6">
            <w:r>
              <w:rPr>
                <w:rFonts w:hint="eastAsia"/>
              </w:rPr>
              <w:t>定点医药机构是否分解住院、挂床住院</w:t>
            </w:r>
          </w:p>
        </w:tc>
        <w:tc>
          <w:tcPr>
            <w:tcW w:w="5316" w:type="dxa"/>
          </w:tcPr>
          <w:p w14:paraId="52D353EE">
            <w:r>
              <w:rPr>
                <w:rFonts w:hint="eastAsia"/>
              </w:rPr>
              <w:t>《医疗保障基金使用监督管理条例(2021)》第十五条第一款</w:t>
            </w:r>
            <w:r>
              <w:rPr>
                <w:rFonts w:hint="eastAsia"/>
              </w:rPr>
              <w:tab/>
            </w:r>
            <w:r>
              <w:rPr>
                <w:rFonts w:hint="eastAsia"/>
              </w:rPr>
              <w:t>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4BAC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7" w:type="dxa"/>
          </w:tcPr>
          <w:p w14:paraId="1C0E5DCA">
            <w:pPr>
              <w:numPr>
                <w:ilvl w:val="0"/>
                <w:numId w:val="1"/>
              </w:numPr>
              <w:ind w:left="425" w:leftChars="0" w:hanging="425" w:firstLineChars="0"/>
              <w:rPr>
                <w:rFonts w:hint="eastAsia"/>
              </w:rPr>
            </w:pPr>
          </w:p>
        </w:tc>
        <w:tc>
          <w:tcPr>
            <w:tcW w:w="2568" w:type="dxa"/>
          </w:tcPr>
          <w:p w14:paraId="61DC7553">
            <w:r>
              <w:rPr>
                <w:rFonts w:hint="eastAsia"/>
              </w:rPr>
              <w:t>定点医药机构是否重复收费、超标准收费、分解项目收费</w:t>
            </w:r>
          </w:p>
        </w:tc>
        <w:tc>
          <w:tcPr>
            <w:tcW w:w="5316" w:type="dxa"/>
          </w:tcPr>
          <w:p w14:paraId="2A3FB859">
            <w:r>
              <w:rPr>
                <w:rFonts w:hint="eastAsia"/>
              </w:rPr>
              <w:t>《医疗保障基金使用监督管理条例(2021)》第十五条第一款</w:t>
            </w:r>
            <w:r>
              <w:rPr>
                <w:rFonts w:hint="eastAsia"/>
              </w:rPr>
              <w:tab/>
            </w:r>
            <w:r>
              <w:rPr>
                <w:rFonts w:hint="eastAsia"/>
              </w:rPr>
              <w:t>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7E93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2620766">
            <w:pPr>
              <w:numPr>
                <w:ilvl w:val="0"/>
                <w:numId w:val="1"/>
              </w:numPr>
              <w:ind w:left="425" w:leftChars="0" w:hanging="425" w:firstLineChars="0"/>
              <w:rPr>
                <w:rFonts w:hint="eastAsia"/>
              </w:rPr>
            </w:pPr>
          </w:p>
        </w:tc>
        <w:tc>
          <w:tcPr>
            <w:tcW w:w="2568" w:type="dxa"/>
          </w:tcPr>
          <w:p w14:paraId="1EFCFE65">
            <w:r>
              <w:rPr>
                <w:rFonts w:hint="eastAsia"/>
              </w:rPr>
              <w:t>定点医药机构是否串换药品、医用耗材、诊疗项目和服务设施</w:t>
            </w:r>
          </w:p>
        </w:tc>
        <w:tc>
          <w:tcPr>
            <w:tcW w:w="5316" w:type="dxa"/>
          </w:tcPr>
          <w:p w14:paraId="0444BB99">
            <w:r>
              <w:rPr>
                <w:rFonts w:hint="eastAsia"/>
              </w:rPr>
              <w:t>《医疗保障基金使用监督管理条例(2021)》第十五条第一款</w:t>
            </w:r>
            <w:r>
              <w:rPr>
                <w:rFonts w:hint="eastAsia"/>
              </w:rPr>
              <w:tab/>
            </w:r>
            <w:r>
              <w:rPr>
                <w:rFonts w:hint="eastAsia"/>
              </w:rPr>
              <w:t>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4826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47A6331">
            <w:pPr>
              <w:numPr>
                <w:ilvl w:val="0"/>
                <w:numId w:val="1"/>
              </w:numPr>
              <w:ind w:left="425" w:leftChars="0" w:hanging="425" w:firstLineChars="0"/>
              <w:rPr>
                <w:rFonts w:hint="eastAsia"/>
              </w:rPr>
            </w:pPr>
          </w:p>
        </w:tc>
        <w:tc>
          <w:tcPr>
            <w:tcW w:w="2568" w:type="dxa"/>
          </w:tcPr>
          <w:p w14:paraId="7DD42C31">
            <w:r>
              <w:rPr>
                <w:rFonts w:hint="eastAsia"/>
              </w:rPr>
              <w:t>定点医药机构将是否属于医疗保障基金支付范围的医药费用纳入医疗保障基金结算</w:t>
            </w:r>
          </w:p>
        </w:tc>
        <w:tc>
          <w:tcPr>
            <w:tcW w:w="5316" w:type="dxa"/>
          </w:tcPr>
          <w:p w14:paraId="78F5DB38">
            <w:r>
              <w:rPr>
                <w:rFonts w:hint="eastAsia"/>
              </w:rPr>
              <w:t>《医疗保障基金使用监督管理条例(2021)》第十五条第二款</w:t>
            </w:r>
            <w:r>
              <w:rPr>
                <w:rFonts w:hint="eastAsia"/>
              </w:rPr>
              <w:tab/>
            </w:r>
            <w:r>
              <w:rPr>
                <w:rFonts w:hint="eastAsia"/>
              </w:rPr>
              <w:t>定点医药机构应当确保医疗保障基金支付的费用符合规定的支付范围；除急诊、抢救等特殊情形外，提供医疗保障基金支付范围以外的医药服务的，应当经参保人员或者其近亲属、监护人同意。</w:t>
            </w:r>
          </w:p>
        </w:tc>
      </w:tr>
      <w:tr w14:paraId="2B90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C03A05A">
            <w:pPr>
              <w:numPr>
                <w:ilvl w:val="0"/>
                <w:numId w:val="1"/>
              </w:numPr>
              <w:ind w:left="425" w:leftChars="0" w:hanging="425" w:firstLineChars="0"/>
              <w:rPr>
                <w:rFonts w:hint="eastAsia"/>
              </w:rPr>
            </w:pPr>
          </w:p>
        </w:tc>
        <w:tc>
          <w:tcPr>
            <w:tcW w:w="2568" w:type="dxa"/>
          </w:tcPr>
          <w:p w14:paraId="1295AE9B">
            <w:r>
              <w:rPr>
                <w:rFonts w:hint="eastAsia"/>
              </w:rPr>
              <w:t>定点医药机构除急诊、抢救等特殊情形外提供医疗保障基金支付范围以外的医药服务是否经参保人员或者其近亲属、监护人同意</w:t>
            </w:r>
          </w:p>
        </w:tc>
        <w:tc>
          <w:tcPr>
            <w:tcW w:w="5316" w:type="dxa"/>
          </w:tcPr>
          <w:p w14:paraId="37929AFE">
            <w:r>
              <w:rPr>
                <w:rFonts w:hint="eastAsia"/>
              </w:rPr>
              <w:t>《医疗保障基金使用监督管理条例(2021)》第十五条第二款</w:t>
            </w:r>
            <w:r>
              <w:rPr>
                <w:rFonts w:hint="eastAsia"/>
              </w:rPr>
              <w:tab/>
            </w:r>
            <w:r>
              <w:rPr>
                <w:rFonts w:hint="eastAsia"/>
              </w:rPr>
              <w:t>定点医药机构应当确保医疗保障基金支付的费用符合规定的支付范围；除急诊、抢救等特殊情形外，提供医疗保障基金支付范围以外的医药服务的，应当经参保人员或者其近亲属、监护人同意。</w:t>
            </w:r>
          </w:p>
        </w:tc>
      </w:tr>
      <w:tr w14:paraId="6F8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727" w:type="dxa"/>
          </w:tcPr>
          <w:p w14:paraId="6304753E">
            <w:pPr>
              <w:numPr>
                <w:ilvl w:val="0"/>
                <w:numId w:val="1"/>
              </w:numPr>
              <w:ind w:left="425" w:leftChars="0" w:hanging="425" w:firstLineChars="0"/>
              <w:rPr>
                <w:rFonts w:hint="eastAsia"/>
              </w:rPr>
            </w:pPr>
          </w:p>
        </w:tc>
        <w:tc>
          <w:tcPr>
            <w:tcW w:w="2568" w:type="dxa"/>
          </w:tcPr>
          <w:p w14:paraId="62676526">
            <w:r>
              <w:rPr>
                <w:rFonts w:hint="eastAsia"/>
              </w:rPr>
              <w:t>定点医药机构是否为参保人员利用其享受医疗保障待遇的机会转卖药品接受返还现金、实物或者获得其他非法利益提供便利</w:t>
            </w:r>
          </w:p>
        </w:tc>
        <w:tc>
          <w:tcPr>
            <w:tcW w:w="5316" w:type="dxa"/>
          </w:tcPr>
          <w:p w14:paraId="6EA8357D">
            <w:r>
              <w:rPr>
                <w:rFonts w:hint="eastAsia"/>
              </w:rPr>
              <w:t>《医疗保障基金使用监督管理条例(2021)》第十九条第二款</w:t>
            </w:r>
            <w:r>
              <w:rPr>
                <w:rFonts w:hint="eastAsia"/>
              </w:rPr>
              <w:tab/>
            </w:r>
            <w:r>
              <w:rPr>
                <w:rFonts w:hint="eastAsia"/>
              </w:rPr>
              <w:t>定点医药机构不得为参保人员利用其享受医疗保障待遇的机会转卖药品，接受返还现金、实物或者获得其他非法利益提供便利。</w:t>
            </w:r>
          </w:p>
        </w:tc>
      </w:tr>
      <w:tr w14:paraId="1C5F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6163B468">
            <w:pPr>
              <w:numPr>
                <w:ilvl w:val="0"/>
                <w:numId w:val="1"/>
              </w:numPr>
              <w:ind w:left="425" w:leftChars="0" w:hanging="425" w:firstLineChars="0"/>
              <w:rPr>
                <w:rFonts w:hint="eastAsia"/>
              </w:rPr>
            </w:pPr>
          </w:p>
        </w:tc>
        <w:tc>
          <w:tcPr>
            <w:tcW w:w="2568" w:type="dxa"/>
          </w:tcPr>
          <w:p w14:paraId="36A7E9C1">
            <w:r>
              <w:rPr>
                <w:rFonts w:hint="eastAsia"/>
              </w:rPr>
              <w:t>定点医药机构是否按照规定保管财务账目、会计凭证、处方、病历、治疗检查记录、费用明细、药品和医用耗材出入库记录等资料</w:t>
            </w:r>
          </w:p>
        </w:tc>
        <w:tc>
          <w:tcPr>
            <w:tcW w:w="5316" w:type="dxa"/>
          </w:tcPr>
          <w:p w14:paraId="0F0529D7">
            <w:r>
              <w:rPr>
                <w:rFonts w:hint="eastAsia"/>
              </w:rPr>
              <w:t>《医疗保障基金使用监督管理条例(2021)》第十六条</w:t>
            </w:r>
            <w:r>
              <w:rPr>
                <w:rFonts w:hint="eastAsia"/>
              </w:rPr>
              <w:tab/>
            </w:r>
            <w:r>
              <w:rPr>
                <w:rFonts w:hint="eastAsia"/>
              </w:rPr>
              <w:t>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4D95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06595E3">
            <w:pPr>
              <w:numPr>
                <w:ilvl w:val="0"/>
                <w:numId w:val="1"/>
              </w:numPr>
              <w:ind w:left="425" w:leftChars="0" w:hanging="425" w:firstLineChars="0"/>
              <w:rPr>
                <w:rFonts w:hint="eastAsia"/>
              </w:rPr>
            </w:pPr>
          </w:p>
        </w:tc>
        <w:tc>
          <w:tcPr>
            <w:tcW w:w="2568" w:type="dxa"/>
          </w:tcPr>
          <w:p w14:paraId="129752B8">
            <w:r>
              <w:rPr>
                <w:rFonts w:hint="eastAsia"/>
              </w:rPr>
              <w:t>定点医药机构是否按照规定通过医疗保障信息系统传送医疗保障基金使用有关数据</w:t>
            </w:r>
          </w:p>
        </w:tc>
        <w:tc>
          <w:tcPr>
            <w:tcW w:w="5316" w:type="dxa"/>
          </w:tcPr>
          <w:p w14:paraId="5547F6A6">
            <w:r>
              <w:rPr>
                <w:rFonts w:hint="eastAsia"/>
              </w:rPr>
              <w:t>《医疗保障基金使用监督管理条例(2021)》第十六条</w:t>
            </w:r>
            <w:r>
              <w:rPr>
                <w:rFonts w:hint="eastAsia"/>
              </w:rPr>
              <w:tab/>
            </w:r>
            <w:r>
              <w:rPr>
                <w:rFonts w:hint="eastAsia"/>
              </w:rPr>
              <w:t>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1CF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681496A">
            <w:pPr>
              <w:numPr>
                <w:ilvl w:val="0"/>
                <w:numId w:val="1"/>
              </w:numPr>
              <w:ind w:left="425" w:leftChars="0" w:hanging="425" w:firstLineChars="0"/>
              <w:rPr>
                <w:rFonts w:hint="eastAsia"/>
              </w:rPr>
            </w:pPr>
          </w:p>
        </w:tc>
        <w:tc>
          <w:tcPr>
            <w:tcW w:w="2568" w:type="dxa"/>
          </w:tcPr>
          <w:p w14:paraId="4E416C4C">
            <w:r>
              <w:rPr>
                <w:rFonts w:hint="eastAsia"/>
              </w:rPr>
              <w:t>定点医药机构是否按照规定向医疗保障行政部门报告医疗保障基金使用监督管理所需信息</w:t>
            </w:r>
          </w:p>
        </w:tc>
        <w:tc>
          <w:tcPr>
            <w:tcW w:w="5316" w:type="dxa"/>
          </w:tcPr>
          <w:p w14:paraId="5B7E66AC">
            <w:r>
              <w:rPr>
                <w:rFonts w:hint="eastAsia"/>
              </w:rPr>
              <w:t>《医疗保障基金使用监督管理条例(2021)》第十六条</w:t>
            </w:r>
            <w:r>
              <w:rPr>
                <w:rFonts w:hint="eastAsia"/>
              </w:rPr>
              <w:tab/>
            </w:r>
            <w:r>
              <w:rPr>
                <w:rFonts w:hint="eastAsia"/>
              </w:rPr>
              <w:t>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75B3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799A98F8">
            <w:pPr>
              <w:numPr>
                <w:ilvl w:val="0"/>
                <w:numId w:val="1"/>
              </w:numPr>
              <w:ind w:left="425" w:leftChars="0" w:hanging="425" w:firstLineChars="0"/>
              <w:rPr>
                <w:rFonts w:hint="eastAsia"/>
              </w:rPr>
            </w:pPr>
          </w:p>
        </w:tc>
        <w:tc>
          <w:tcPr>
            <w:tcW w:w="2568" w:type="dxa"/>
          </w:tcPr>
          <w:p w14:paraId="74544F15">
            <w:r>
              <w:rPr>
                <w:rFonts w:hint="eastAsia"/>
              </w:rPr>
              <w:t>定点医药机构是否按照规定向社会公开医药费用、费用结构等信息</w:t>
            </w:r>
          </w:p>
        </w:tc>
        <w:tc>
          <w:tcPr>
            <w:tcW w:w="5316" w:type="dxa"/>
          </w:tcPr>
          <w:p w14:paraId="2A1A15D7">
            <w:r>
              <w:rPr>
                <w:rFonts w:hint="eastAsia"/>
              </w:rPr>
              <w:t>《医疗保障基金使用监督管理条例(2021)》第十六条</w:t>
            </w:r>
            <w:r>
              <w:rPr>
                <w:rFonts w:hint="eastAsia"/>
              </w:rPr>
              <w:tab/>
            </w:r>
            <w:r>
              <w:rPr>
                <w:rFonts w:hint="eastAsia"/>
              </w:rPr>
              <w:t>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0FEE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27" w:type="dxa"/>
          </w:tcPr>
          <w:p w14:paraId="7B353E19">
            <w:pPr>
              <w:numPr>
                <w:ilvl w:val="0"/>
                <w:numId w:val="1"/>
              </w:numPr>
              <w:ind w:left="425" w:leftChars="0" w:hanging="425" w:firstLineChars="0"/>
              <w:rPr>
                <w:rFonts w:hint="eastAsia"/>
              </w:rPr>
            </w:pPr>
          </w:p>
        </w:tc>
        <w:tc>
          <w:tcPr>
            <w:tcW w:w="2568" w:type="dxa"/>
          </w:tcPr>
          <w:p w14:paraId="19F4379E">
            <w:r>
              <w:rPr>
                <w:rFonts w:hint="eastAsia"/>
              </w:rPr>
              <w:t>定点医药机构是否建立医疗保障基金使用内部管理制度，有无专门机构或者人员负责医疗保障基金使用管理工作</w:t>
            </w:r>
          </w:p>
        </w:tc>
        <w:tc>
          <w:tcPr>
            <w:tcW w:w="5316" w:type="dxa"/>
          </w:tcPr>
          <w:p w14:paraId="6E14C64C">
            <w:r>
              <w:rPr>
                <w:rFonts w:hint="eastAsia"/>
              </w:rPr>
              <w:t>《医疗保障基金使用监督管理条例(2021)》第十四条第一款</w:t>
            </w:r>
            <w:r>
              <w:rPr>
                <w:rFonts w:hint="eastAsia"/>
              </w:rPr>
              <w:tab/>
            </w:r>
            <w:r>
              <w:rPr>
                <w:rFonts w:hint="eastAsia"/>
              </w:rPr>
              <w:t>定点医药机构应当建立医疗保障基金使用内部管理制度，由专门机构或者人员负责医疗保障基金使用管理工作，建立健全考核评价体系。</w:t>
            </w:r>
          </w:p>
        </w:tc>
      </w:tr>
      <w:tr w14:paraId="33A9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39F4EEB3">
            <w:pPr>
              <w:numPr>
                <w:ilvl w:val="0"/>
                <w:numId w:val="1"/>
              </w:numPr>
              <w:ind w:left="425" w:leftChars="0" w:hanging="425" w:firstLineChars="0"/>
              <w:rPr>
                <w:rFonts w:hint="eastAsia"/>
              </w:rPr>
            </w:pPr>
          </w:p>
        </w:tc>
        <w:tc>
          <w:tcPr>
            <w:tcW w:w="2568" w:type="dxa"/>
          </w:tcPr>
          <w:p w14:paraId="1A0BA5A3">
            <w:r>
              <w:rPr>
                <w:rFonts w:hint="eastAsia"/>
              </w:rPr>
              <w:t>医疗保障经办机构是否定期向社会公开医疗保障基金的收入、支出、结余等情况</w:t>
            </w:r>
          </w:p>
        </w:tc>
        <w:tc>
          <w:tcPr>
            <w:tcW w:w="5316" w:type="dxa"/>
          </w:tcPr>
          <w:p w14:paraId="34DEF192">
            <w:r>
              <w:rPr>
                <w:rFonts w:hint="eastAsia"/>
              </w:rPr>
              <w:t>《医疗保障基金使用监督管理条例(2021)》第十条</w:t>
            </w:r>
            <w:r>
              <w:rPr>
                <w:rFonts w:hint="eastAsia"/>
              </w:rPr>
              <w:tab/>
            </w:r>
            <w:r>
              <w:rPr>
                <w:rFonts w:hint="eastAsia"/>
              </w:rPr>
              <w:t>医疗保障经办机构应当建立健全业务、财务、安全和风险管理制度，做好服务协议管理、费用监控、基金拨付、待遇审核及支付等工作，并定期向社会公开医疗保障基金的收入、支出、结余等情况，接受社会监督。</w:t>
            </w:r>
          </w:p>
        </w:tc>
      </w:tr>
      <w:tr w14:paraId="10A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0ECDFA82">
            <w:pPr>
              <w:numPr>
                <w:ilvl w:val="0"/>
                <w:numId w:val="1"/>
              </w:numPr>
              <w:ind w:left="425" w:leftChars="0" w:hanging="425" w:firstLineChars="0"/>
              <w:rPr>
                <w:rFonts w:hint="eastAsia"/>
              </w:rPr>
            </w:pPr>
          </w:p>
        </w:tc>
        <w:tc>
          <w:tcPr>
            <w:tcW w:w="2568" w:type="dxa"/>
          </w:tcPr>
          <w:p w14:paraId="59B7BC21">
            <w:r>
              <w:rPr>
                <w:rFonts w:hint="eastAsia"/>
              </w:rPr>
              <w:t>医疗保障经办机构医疗保障基金支出情况</w:t>
            </w:r>
          </w:p>
        </w:tc>
        <w:tc>
          <w:tcPr>
            <w:tcW w:w="5316" w:type="dxa"/>
          </w:tcPr>
          <w:p w14:paraId="39FE42BD">
            <w:r>
              <w:rPr>
                <w:rFonts w:hint="eastAsia"/>
              </w:rPr>
              <w:t>《医疗保障基金使用监督管理条例(2021)》第二十条</w:t>
            </w:r>
            <w:r>
              <w:rPr>
                <w:rFonts w:hint="eastAsia"/>
              </w:rPr>
              <w:tab/>
            </w:r>
            <w:r>
              <w:rPr>
                <w:rFonts w:hint="eastAsia"/>
              </w:rPr>
              <w:t>医疗保障经办机构、定点医药机构等单位及其工作人员和参保人员等人员不得通过伪造、变造、隐匿、涂改、销毁医学文书、医学证明、会计凭证、电子信息等有关资料，或者虚构医药服务项目等方式，骗取医疗保障基金。</w:t>
            </w:r>
          </w:p>
        </w:tc>
      </w:tr>
      <w:tr w14:paraId="5453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19968D1">
            <w:pPr>
              <w:numPr>
                <w:ilvl w:val="0"/>
                <w:numId w:val="1"/>
              </w:numPr>
              <w:ind w:left="425" w:leftChars="0" w:hanging="425" w:firstLineChars="0"/>
              <w:rPr>
                <w:rFonts w:hint="eastAsia"/>
              </w:rPr>
            </w:pPr>
          </w:p>
        </w:tc>
        <w:tc>
          <w:tcPr>
            <w:tcW w:w="2568" w:type="dxa"/>
          </w:tcPr>
          <w:p w14:paraId="0D7F0648">
            <w:r>
              <w:rPr>
                <w:rFonts w:hint="eastAsia"/>
              </w:rPr>
              <w:t>医疗保障经办机构是否履行服务协议管理、费用监控、基金拨付、待遇审核及支付等职责</w:t>
            </w:r>
          </w:p>
        </w:tc>
        <w:tc>
          <w:tcPr>
            <w:tcW w:w="5316" w:type="dxa"/>
          </w:tcPr>
          <w:p w14:paraId="5CA185D8">
            <w:r>
              <w:rPr>
                <w:rFonts w:hint="eastAsia"/>
              </w:rPr>
              <w:t>《医疗保障基金使用监督管理条例(2021)》第十条</w:t>
            </w:r>
            <w:r>
              <w:rPr>
                <w:rFonts w:hint="eastAsia"/>
              </w:rPr>
              <w:tab/>
            </w:r>
            <w:r>
              <w:rPr>
                <w:rFonts w:hint="eastAsia"/>
              </w:rPr>
              <w:t>医疗保障经办机构应当建立健全业务、财务、安全和风险管理制度，做好服务协议管理、费用监控、基金拨付、待遇审核及支付等工作，并定期向社会公开医疗保障基金的收入、支出、结余等情况，接受社会监督。</w:t>
            </w:r>
          </w:p>
        </w:tc>
      </w:tr>
      <w:tr w14:paraId="2E2E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BC872E2">
            <w:pPr>
              <w:numPr>
                <w:ilvl w:val="0"/>
                <w:numId w:val="1"/>
              </w:numPr>
              <w:ind w:left="425" w:leftChars="0" w:hanging="425" w:firstLineChars="0"/>
              <w:rPr>
                <w:rFonts w:hint="eastAsia"/>
              </w:rPr>
            </w:pPr>
          </w:p>
        </w:tc>
        <w:tc>
          <w:tcPr>
            <w:tcW w:w="2568" w:type="dxa"/>
          </w:tcPr>
          <w:p w14:paraId="700037B1">
            <w:r>
              <w:rPr>
                <w:rFonts w:hint="eastAsia"/>
              </w:rPr>
              <w:t>医疗保障经办机构是否建立健全业务、财务、安全和风险管理制度</w:t>
            </w:r>
          </w:p>
        </w:tc>
        <w:tc>
          <w:tcPr>
            <w:tcW w:w="5316" w:type="dxa"/>
          </w:tcPr>
          <w:p w14:paraId="74EE400D">
            <w:r>
              <w:rPr>
                <w:rFonts w:hint="eastAsia"/>
              </w:rPr>
              <w:t>《医疗保障基金使用监督管理条例(2021)》第十条</w:t>
            </w:r>
            <w:r>
              <w:rPr>
                <w:rFonts w:hint="eastAsia"/>
              </w:rPr>
              <w:tab/>
            </w:r>
            <w:r>
              <w:rPr>
                <w:rFonts w:hint="eastAsia"/>
              </w:rPr>
              <w:t>医疗保障经办机构应当建立健全业务、财务、安全和风险管理制度，做好服务协议管理、费用监控、基金拨付、待遇审核及支付等工作，并定期向社会公开医疗保障基金的收入、支出、结余等情况，接受社会监督。</w:t>
            </w:r>
          </w:p>
        </w:tc>
      </w:tr>
      <w:tr w14:paraId="254A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85DF16E">
            <w:pPr>
              <w:numPr>
                <w:ilvl w:val="0"/>
                <w:numId w:val="1"/>
              </w:numPr>
              <w:ind w:left="425" w:leftChars="0" w:hanging="425" w:firstLineChars="0"/>
              <w:rPr>
                <w:rFonts w:hint="eastAsia"/>
              </w:rPr>
            </w:pPr>
          </w:p>
        </w:tc>
        <w:tc>
          <w:tcPr>
            <w:tcW w:w="2568" w:type="dxa"/>
          </w:tcPr>
          <w:p w14:paraId="25062E54">
            <w:r>
              <w:rPr>
                <w:rFonts w:hint="eastAsia"/>
              </w:rP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c>
          <w:tcPr>
            <w:tcW w:w="5316" w:type="dxa"/>
          </w:tcPr>
          <w:p w14:paraId="4B73501C">
            <w:r>
              <w:rPr>
                <w:rFonts w:hint="eastAsia"/>
              </w:rPr>
              <w:t>《社会保险经办条例(2023)》第四十八条第一款</w:t>
            </w:r>
            <w:r>
              <w:rPr>
                <w:rFonts w:hint="eastAsia"/>
              </w:rPr>
              <w:tab/>
            </w:r>
            <w:r>
              <w:rPr>
                <w:rFonts w:hint="eastAsia"/>
              </w:rP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r>
      <w:tr w14:paraId="056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0090CE16">
            <w:pPr>
              <w:numPr>
                <w:ilvl w:val="0"/>
                <w:numId w:val="1"/>
              </w:numPr>
              <w:ind w:left="425" w:leftChars="0" w:hanging="425" w:firstLineChars="0"/>
              <w:rPr>
                <w:rFonts w:hint="eastAsia"/>
              </w:rPr>
            </w:pPr>
          </w:p>
        </w:tc>
        <w:tc>
          <w:tcPr>
            <w:tcW w:w="2568" w:type="dxa"/>
          </w:tcPr>
          <w:p w14:paraId="272AB2D9">
            <w:r>
              <w:rPr>
                <w:rFonts w:hint="eastAsia"/>
              </w:rPr>
              <w:t>用人单位是否依法代扣代缴社会保险费</w:t>
            </w:r>
          </w:p>
        </w:tc>
        <w:tc>
          <w:tcPr>
            <w:tcW w:w="5316" w:type="dxa"/>
          </w:tcPr>
          <w:p w14:paraId="51F9C28E">
            <w:r>
              <w:rPr>
                <w:rFonts w:hint="eastAsia"/>
              </w:rPr>
              <w:t>《实施〈中华人民共和国社会保险法〉若干规定(2011)》第二十条</w:t>
            </w:r>
            <w:r>
              <w:rPr>
                <w:rFonts w:hint="eastAsia"/>
              </w:rPr>
              <w:tab/>
            </w:r>
            <w:r>
              <w:rPr>
                <w:rFonts w:hint="eastAsia"/>
              </w:rPr>
              <w:t>职工应当缴纳的社会保险费由用人单位代扣代缴。用人单位未依法代扣代缴的，由社会保险费征收机构责令用人单位限期代缴，并自欠缴之日起向用人单位按日加收万分之五的滞纳金。用人单位不得要求职工承担滞纳金。</w:t>
            </w:r>
          </w:p>
        </w:tc>
      </w:tr>
      <w:tr w14:paraId="714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AD339A3">
            <w:pPr>
              <w:numPr>
                <w:ilvl w:val="0"/>
                <w:numId w:val="1"/>
              </w:numPr>
              <w:ind w:left="425" w:leftChars="0" w:hanging="425" w:firstLineChars="0"/>
              <w:rPr>
                <w:rFonts w:hint="eastAsia"/>
              </w:rPr>
            </w:pPr>
          </w:p>
        </w:tc>
        <w:tc>
          <w:tcPr>
            <w:tcW w:w="2568" w:type="dxa"/>
          </w:tcPr>
          <w:p w14:paraId="00464122">
            <w:r>
              <w:rPr>
                <w:rFonts w:hint="eastAsia"/>
              </w:rPr>
              <w:t>县级以上人民政府社会保险行政部门应当加强对用人单位和个人遵守社会保险法律、法规情况的监督检查。</w:t>
            </w:r>
          </w:p>
        </w:tc>
        <w:tc>
          <w:tcPr>
            <w:tcW w:w="5316" w:type="dxa"/>
          </w:tcPr>
          <w:p w14:paraId="28E91C1C">
            <w:r>
              <w:rPr>
                <w:rFonts w:hint="eastAsia"/>
              </w:rPr>
              <w:t>《中华人民共和国社会保险法(2018)》第七十七条第一款</w:t>
            </w:r>
            <w:r>
              <w:rPr>
                <w:rFonts w:hint="eastAsia"/>
              </w:rPr>
              <w:tab/>
            </w:r>
            <w:r>
              <w:rPr>
                <w:rFonts w:hint="eastAsia"/>
              </w:rPr>
              <w:t>县级以上人民政府社会保险行政部门应当加强对用人单位和个人遵守社会保险法律、法规情况的监督检查。</w:t>
            </w:r>
          </w:p>
        </w:tc>
      </w:tr>
      <w:tr w14:paraId="27B2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67A94F2B">
            <w:pPr>
              <w:numPr>
                <w:ilvl w:val="0"/>
                <w:numId w:val="1"/>
              </w:numPr>
              <w:ind w:left="425" w:leftChars="0" w:hanging="425" w:firstLineChars="0"/>
              <w:rPr>
                <w:rFonts w:hint="eastAsia"/>
              </w:rPr>
            </w:pPr>
          </w:p>
        </w:tc>
        <w:tc>
          <w:tcPr>
            <w:tcW w:w="2568" w:type="dxa"/>
          </w:tcPr>
          <w:p w14:paraId="1548387B">
            <w:r>
              <w:rPr>
                <w:rFonts w:hint="eastAsia"/>
              </w:rPr>
              <w:t>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c>
          <w:tcPr>
            <w:tcW w:w="5316" w:type="dxa"/>
          </w:tcPr>
          <w:p w14:paraId="3354F6AB">
            <w:r>
              <w:rPr>
                <w:rFonts w:hint="eastAsia"/>
              </w:rPr>
              <w:t>《中华人民共和国基本医疗卫生与健康促进法(2020)》第一百零三条</w:t>
            </w:r>
            <w:r>
              <w:rPr>
                <w:rFonts w:hint="eastAsia"/>
              </w:rPr>
              <w:tab/>
            </w:r>
            <w:r>
              <w:rPr>
                <w:rFonts w:hint="eastAsia"/>
              </w:rPr>
              <w:t>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r>
      <w:tr w14:paraId="279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3F4D2B5">
            <w:pPr>
              <w:numPr>
                <w:ilvl w:val="0"/>
                <w:numId w:val="1"/>
              </w:numPr>
              <w:ind w:left="425" w:leftChars="0" w:hanging="425" w:firstLineChars="0"/>
              <w:rPr>
                <w:rFonts w:hint="eastAsia"/>
              </w:rPr>
            </w:pPr>
          </w:p>
        </w:tc>
        <w:tc>
          <w:tcPr>
            <w:tcW w:w="2568" w:type="dxa"/>
          </w:tcPr>
          <w:p w14:paraId="1769995C">
            <w:r>
              <w:rPr>
                <w:rFonts w:hint="eastAsia"/>
              </w:rPr>
              <w:t>药品上市许可持有人、药品生产企业、药品经营企业和医疗机构应当依法向药品价格主管部门提供其药品的实际购销价格和购销数量等资料。</w:t>
            </w:r>
          </w:p>
        </w:tc>
        <w:tc>
          <w:tcPr>
            <w:tcW w:w="5316" w:type="dxa"/>
          </w:tcPr>
          <w:p w14:paraId="7A940960">
            <w:r>
              <w:rPr>
                <w:rFonts w:hint="eastAsia"/>
              </w:rPr>
              <w:t>《中华人民共和国药品管理法(2019)》第八十六条</w:t>
            </w:r>
            <w:r>
              <w:rPr>
                <w:rFonts w:hint="eastAsia"/>
              </w:rPr>
              <w:tab/>
            </w:r>
            <w:r>
              <w:rPr>
                <w:rFonts w:hint="eastAsia"/>
              </w:rPr>
              <w:t>药品上市许可持有人、药品生产企业、药品经营企业和医疗机构应当依法向药品价格主管部门提供其药品的实际购销价格和购销数量等资料。</w:t>
            </w:r>
          </w:p>
        </w:tc>
      </w:tr>
      <w:tr w14:paraId="7EEA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2B0C74F5">
            <w:pPr>
              <w:numPr>
                <w:ilvl w:val="0"/>
                <w:numId w:val="1"/>
              </w:numPr>
              <w:ind w:left="425" w:leftChars="0" w:hanging="425" w:firstLineChars="0"/>
              <w:rPr>
                <w:rFonts w:hint="eastAsia"/>
              </w:rPr>
            </w:pPr>
          </w:p>
        </w:tc>
        <w:tc>
          <w:tcPr>
            <w:tcW w:w="2568" w:type="dxa"/>
          </w:tcPr>
          <w:p w14:paraId="36FE2A4B">
            <w:r>
              <w:rPr>
                <w:rFonts w:hint="eastAsia"/>
              </w:rPr>
              <w:t>县级以上人民政府医疗保障主管部门应当提高医疗保障监管能力和水平，对纳入基本医疗保险基金支付范围的医疗服务行为和医疗费用加强监督管理，确保基本医疗保险基金合理使用、安全可控。</w:t>
            </w:r>
          </w:p>
        </w:tc>
        <w:tc>
          <w:tcPr>
            <w:tcW w:w="5316" w:type="dxa"/>
          </w:tcPr>
          <w:p w14:paraId="15AA89F9">
            <w:r>
              <w:rPr>
                <w:rFonts w:hint="eastAsia"/>
              </w:rPr>
              <w:t>《中华人民共和国基本医疗卫生与健康促进法(2020)》第八十七条</w:t>
            </w:r>
            <w:r>
              <w:rPr>
                <w:rFonts w:hint="eastAsia"/>
              </w:rPr>
              <w:tab/>
            </w:r>
            <w:r>
              <w:rPr>
                <w:rFonts w:hint="eastAsia"/>
              </w:rPr>
              <w:t>县级以上人民政府医疗保障主管部门应当提高医疗保障监管能力和水平，对纳入基本医疗保险基金支付范围的医疗服务行为和医疗费用加强监督管理，确保基本医疗保险基金合理使用、安全可控。</w:t>
            </w:r>
          </w:p>
        </w:tc>
      </w:tr>
      <w:tr w14:paraId="254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40AA783F">
            <w:pPr>
              <w:numPr>
                <w:ilvl w:val="0"/>
                <w:numId w:val="1"/>
              </w:numPr>
              <w:ind w:left="425" w:leftChars="0" w:hanging="425" w:firstLineChars="0"/>
              <w:rPr>
                <w:rFonts w:hint="eastAsia"/>
              </w:rPr>
            </w:pPr>
          </w:p>
        </w:tc>
        <w:tc>
          <w:tcPr>
            <w:tcW w:w="2568" w:type="dxa"/>
          </w:tcPr>
          <w:p w14:paraId="4D91B716">
            <w:r>
              <w:rPr>
                <w:rFonts w:hint="eastAsia"/>
              </w:rPr>
              <w:t>医疗保障行政部门应当加强对纳入医疗保障基金支付范围的医疗服务行为和医疗费用的监督，规范医疗保障经办业务，依法查处违法使用医疗保障基金的行为。</w:t>
            </w:r>
          </w:p>
        </w:tc>
        <w:tc>
          <w:tcPr>
            <w:tcW w:w="5316" w:type="dxa"/>
          </w:tcPr>
          <w:p w14:paraId="4069D800">
            <w:r>
              <w:rPr>
                <w:rFonts w:hint="eastAsia"/>
              </w:rPr>
              <w:t>《医疗保障基金使用监督管理条例(2021)》第二十二条第二款</w:t>
            </w:r>
            <w:r>
              <w:rPr>
                <w:rFonts w:hint="eastAsia"/>
              </w:rPr>
              <w:tab/>
            </w:r>
            <w:r>
              <w:rPr>
                <w:rFonts w:hint="eastAsia"/>
              </w:rPr>
              <w:t>医疗保障行政部门应当加强对纳入医疗保障基金支付范围的医疗服务行为和医疗费用的监督，规范医疗保障经办业务，依法查处违法使用医疗保障基金的行为。</w:t>
            </w:r>
          </w:p>
        </w:tc>
      </w:tr>
      <w:tr w14:paraId="30C6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1743F74D">
            <w:pPr>
              <w:numPr>
                <w:ilvl w:val="0"/>
                <w:numId w:val="1"/>
              </w:numPr>
              <w:ind w:left="425" w:leftChars="0" w:hanging="425" w:firstLineChars="0"/>
              <w:rPr>
                <w:rFonts w:hint="eastAsia"/>
              </w:rPr>
            </w:pPr>
          </w:p>
        </w:tc>
        <w:tc>
          <w:tcPr>
            <w:tcW w:w="2568" w:type="dxa"/>
          </w:tcPr>
          <w:p w14:paraId="3E80A5B3">
            <w:r>
              <w:rPr>
                <w:rFonts w:hint="eastAsia"/>
              </w:rPr>
              <w:t>医疗保障行政部门应当根据医疗保障基金风险评估、举报投诉线索、医疗保障数据监控等因素，确定检查重点，组织开展专项检查。</w:t>
            </w:r>
          </w:p>
        </w:tc>
        <w:tc>
          <w:tcPr>
            <w:tcW w:w="5316" w:type="dxa"/>
          </w:tcPr>
          <w:p w14:paraId="70DE3BDF">
            <w:r>
              <w:rPr>
                <w:rFonts w:hint="eastAsia"/>
              </w:rPr>
              <w:t>《医疗保障基金使用监督管理条例(2021)》第二十五条</w:t>
            </w:r>
            <w:r>
              <w:rPr>
                <w:rFonts w:hint="eastAsia"/>
              </w:rPr>
              <w:tab/>
            </w:r>
            <w:r>
              <w:rPr>
                <w:rFonts w:hint="eastAsia"/>
              </w:rPr>
              <w:t>医疗保障行政部门应当根据医疗保障基金风险评估、举报投诉线索、医疗保障数据监控等因素，确定检查重点，组织开展专项检查。</w:t>
            </w:r>
          </w:p>
        </w:tc>
      </w:tr>
      <w:tr w14:paraId="53FC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60D41DC1">
            <w:pPr>
              <w:numPr>
                <w:ilvl w:val="0"/>
                <w:numId w:val="1"/>
              </w:numPr>
              <w:ind w:left="425" w:leftChars="0" w:hanging="425" w:firstLineChars="0"/>
              <w:rPr>
                <w:rFonts w:hint="eastAsia"/>
              </w:rPr>
            </w:pPr>
          </w:p>
        </w:tc>
        <w:tc>
          <w:tcPr>
            <w:tcW w:w="2568" w:type="dxa"/>
          </w:tcPr>
          <w:p w14:paraId="0322D46B">
            <w:r>
              <w:rPr>
                <w:rFonts w:hint="eastAsia"/>
              </w:rPr>
              <w:t>对社会救助工作的监督检查</w:t>
            </w:r>
          </w:p>
        </w:tc>
        <w:tc>
          <w:tcPr>
            <w:tcW w:w="5316" w:type="dxa"/>
          </w:tcPr>
          <w:p w14:paraId="5E3AB1A4">
            <w:r>
              <w:rPr>
                <w:rFonts w:hint="eastAsia"/>
              </w:rPr>
              <w:t>《社会救助暂行办法(2019)》第五十七条</w:t>
            </w:r>
            <w:r>
              <w:rPr>
                <w:rFonts w:hint="eastAsia"/>
              </w:rPr>
              <w:tab/>
            </w:r>
            <w:r>
              <w:rPr>
                <w:rFonts w:hint="eastAsia"/>
              </w:rPr>
              <w:t>县级以上人民政府及其社会救助管理部门应当加强对社会救助工作的监督检查，完善相关监督管理制度。</w:t>
            </w:r>
          </w:p>
        </w:tc>
      </w:tr>
      <w:tr w14:paraId="1A91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5ED0AAEA">
            <w:pPr>
              <w:numPr>
                <w:ilvl w:val="0"/>
                <w:numId w:val="1"/>
              </w:numPr>
              <w:ind w:left="425" w:leftChars="0" w:hanging="425" w:firstLineChars="0"/>
              <w:rPr>
                <w:rFonts w:hint="eastAsia"/>
              </w:rPr>
            </w:pPr>
          </w:p>
        </w:tc>
        <w:tc>
          <w:tcPr>
            <w:tcW w:w="2568" w:type="dxa"/>
          </w:tcPr>
          <w:p w14:paraId="3C3E28E0">
            <w:r>
              <w:rPr>
                <w:rFonts w:hint="eastAsia"/>
              </w:rPr>
              <w:t>对定点医疗机构的协议履行情况、医疗保障基金使用情况、医疗服务行为、购买涉及医疗保障基金使用的第三方服务等进行监督</w:t>
            </w:r>
          </w:p>
        </w:tc>
        <w:tc>
          <w:tcPr>
            <w:tcW w:w="5316" w:type="dxa"/>
          </w:tcPr>
          <w:p w14:paraId="0AC85BFF">
            <w:r>
              <w:rPr>
                <w:rFonts w:hint="eastAsia"/>
              </w:rPr>
              <w:t>《医疗机构医疗保障定点管理暂行办法(2021)》第四十七条第二款</w:t>
            </w:r>
            <w:r>
              <w:rPr>
                <w:rFonts w:hint="eastAsia"/>
              </w:rPr>
              <w:tab/>
            </w:r>
            <w:r>
              <w:rPr>
                <w:rFonts w:hint="eastAsia"/>
              </w:rPr>
              <w:t>医疗保障行政部门依法依规通过实地检查、抽查、智能监控、大数据分析等方式对定点医疗机构的协议履行情况、医疗保障基金使用情况、医疗服务行为、购买涉及医疗保障基金使用的第三方服务等进行监督。</w:t>
            </w:r>
          </w:p>
        </w:tc>
      </w:tr>
      <w:tr w14:paraId="7695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71ADCAAF">
            <w:pPr>
              <w:numPr>
                <w:ilvl w:val="0"/>
                <w:numId w:val="1"/>
              </w:numPr>
              <w:ind w:left="425" w:leftChars="0" w:hanging="425" w:firstLineChars="0"/>
              <w:rPr>
                <w:rFonts w:hint="eastAsia"/>
              </w:rPr>
            </w:pPr>
          </w:p>
        </w:tc>
        <w:tc>
          <w:tcPr>
            <w:tcW w:w="2568" w:type="dxa"/>
          </w:tcPr>
          <w:p w14:paraId="7C78D8F6">
            <w:r>
              <w:rPr>
                <w:rFonts w:hint="eastAsia"/>
              </w:rPr>
              <w:t>对定点零售药店的医保协议履行情况、医疗保障基金使用情况、药品服务等进行监督</w:t>
            </w:r>
          </w:p>
        </w:tc>
        <w:tc>
          <w:tcPr>
            <w:tcW w:w="5316" w:type="dxa"/>
          </w:tcPr>
          <w:p w14:paraId="008955E4">
            <w:r>
              <w:rPr>
                <w:rFonts w:hint="eastAsia"/>
              </w:rPr>
              <w:t>《零售药店医疗保障定点管理暂行办法(2021)》第四十三条第二款</w:t>
            </w:r>
            <w:r>
              <w:rPr>
                <w:rFonts w:hint="eastAsia"/>
              </w:rPr>
              <w:tab/>
            </w:r>
            <w:r>
              <w:rPr>
                <w:rFonts w:hint="eastAsia"/>
              </w:rPr>
              <w:t>医疗保障行政部门依法依规通过实地检查、抽查、智能监控、大数据分析等方式对定点零售药店的医保协议履行情况、医疗保障基金使用情况、药品服务等进行监督。</w:t>
            </w:r>
          </w:p>
        </w:tc>
      </w:tr>
      <w:tr w14:paraId="0775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14:paraId="5440648E">
            <w:pPr>
              <w:numPr>
                <w:ilvl w:val="0"/>
                <w:numId w:val="1"/>
              </w:numPr>
              <w:ind w:left="425" w:leftChars="0" w:hanging="425" w:firstLineChars="0"/>
              <w:rPr>
                <w:rFonts w:hint="eastAsia"/>
              </w:rPr>
            </w:pPr>
          </w:p>
        </w:tc>
        <w:tc>
          <w:tcPr>
            <w:tcW w:w="2568" w:type="dxa"/>
          </w:tcPr>
          <w:p w14:paraId="70F02C65">
            <w:r>
              <w:rPr>
                <w:rFonts w:hint="eastAsia"/>
              </w:rPr>
              <w:t>对生育保险费的征缴和生育保险基金的管理使用情况进行监督检查</w:t>
            </w:r>
          </w:p>
        </w:tc>
        <w:tc>
          <w:tcPr>
            <w:tcW w:w="5316" w:type="dxa"/>
          </w:tcPr>
          <w:p w14:paraId="0CDA687C">
            <w:r>
              <w:rPr>
                <w:rFonts w:hint="eastAsia"/>
              </w:rPr>
              <w:t>《河南省职工生育保险办法(2012)》第十条第一款</w:t>
            </w:r>
            <w:r>
              <w:rPr>
                <w:rFonts w:hint="eastAsia"/>
              </w:rPr>
              <w:tab/>
            </w:r>
            <w:r>
              <w:rPr>
                <w:rFonts w:hint="eastAsia"/>
              </w:rPr>
              <w:t>劳动保障行政部门依法对生育保险费的征缴和生育保险基金的管理使用情况进行监督检查。</w:t>
            </w:r>
          </w:p>
        </w:tc>
      </w:tr>
    </w:tbl>
    <w:p w14:paraId="49E9C7B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0E78"/>
    <w:multiLevelType w:val="singleLevel"/>
    <w:tmpl w:val="50870E7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C664A"/>
    <w:rsid w:val="043B0914"/>
    <w:rsid w:val="08690523"/>
    <w:rsid w:val="0A2F7010"/>
    <w:rsid w:val="0D2B1D29"/>
    <w:rsid w:val="11F64BCE"/>
    <w:rsid w:val="18776785"/>
    <w:rsid w:val="2D681F9D"/>
    <w:rsid w:val="31894E52"/>
    <w:rsid w:val="32AA39CA"/>
    <w:rsid w:val="355A0B35"/>
    <w:rsid w:val="41D63590"/>
    <w:rsid w:val="43395821"/>
    <w:rsid w:val="46BE611A"/>
    <w:rsid w:val="586B0F9F"/>
    <w:rsid w:val="5F7C1524"/>
    <w:rsid w:val="671C723A"/>
    <w:rsid w:val="68FA2F47"/>
    <w:rsid w:val="6DC742B3"/>
    <w:rsid w:val="701D68BA"/>
    <w:rsid w:val="70D30A4C"/>
    <w:rsid w:val="72316B71"/>
    <w:rsid w:val="7526055E"/>
    <w:rsid w:val="76730CF2"/>
    <w:rsid w:val="7C0823C1"/>
    <w:rsid w:val="7C4A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6463</Words>
  <Characters>6633</Characters>
  <Lines>0</Lines>
  <Paragraphs>0</Paragraphs>
  <TotalTime>31</TotalTime>
  <ScaleCrop>false</ScaleCrop>
  <LinksUpToDate>false</LinksUpToDate>
  <CharactersWithSpaces>6673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2025-07-23T07:38:00Z</dcterms:created>
  <dc:creator>Administrator</dc:creator>
  <cp:lastModifiedBy>W</cp:lastModifiedBy>
  <dcterms:modified xsi:type="dcterms:W3CDTF">2025-07-24T09:09:35Z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6B9BF81403D34EACAE7F98940A79BAA0</vt:lpwstr>
  </property>
  <property fmtid="{D5CDD505-2E9C-101B-9397-08002B2CF9AE}" pid="4" name="KSOTemplateDocerSaveRecord">
    <vt:lpwstr>eyJoZGlkIjoiMDJiMWIyZDEyOTViZjFjMzUwMmM5MjgxNjY5ODQ0MTgiLCJ1c2VySWQiOiI0NTE0OTc2MzgifQ==</vt:lpwstr>
  </property>
</Properties>
</file>