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83" w:rsidRDefault="004B7283" w:rsidP="004B728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Arial" w:eastAsia="微软雅黑" w:hAnsi="Arial" w:cs="Arial" w:hint="eastAsia"/>
          <w:color w:val="000000"/>
          <w:sz w:val="30"/>
          <w:szCs w:val="30"/>
        </w:rPr>
        <w:t>西峡县财政局行政</w:t>
      </w:r>
      <w:r>
        <w:rPr>
          <w:rFonts w:ascii="Arial" w:eastAsia="微软雅黑" w:hAnsi="Arial" w:cs="Arial"/>
          <w:color w:val="000000"/>
          <w:sz w:val="30"/>
          <w:szCs w:val="30"/>
        </w:rPr>
        <w:t>检查频次</w:t>
      </w:r>
    </w:p>
    <w:p w:rsidR="004B7283" w:rsidRDefault="004B7283" w:rsidP="004B7283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Arial" w:eastAsia="微软雅黑" w:hAnsi="Arial" w:cs="Arial"/>
          <w:color w:val="000000"/>
          <w:sz w:val="30"/>
          <w:szCs w:val="30"/>
        </w:rPr>
        <w:br/>
      </w:r>
      <w:bookmarkStart w:id="0" w:name="_GoBack"/>
      <w:bookmarkEnd w:id="0"/>
    </w:p>
    <w:p w:rsidR="004B7283" w:rsidRDefault="004B7283" w:rsidP="004B7283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寰蒋闆呴粦" w:eastAsia="寰蒋闆呴粦" w:hAnsi="Arial" w:cs="Arial" w:hint="eastAsia"/>
          <w:color w:val="000000"/>
          <w:sz w:val="27"/>
          <w:szCs w:val="27"/>
          <w:shd w:val="clear" w:color="auto" w:fill="FFFFFF"/>
        </w:rPr>
        <w:t xml:space="preserve">　　除投诉举报、转办交办、数据监测等线索确需实施行政检查外，对同一企业实施行政检查的年度频次为不超过一次。</w:t>
      </w:r>
    </w:p>
    <w:p w:rsidR="002E1052" w:rsidRDefault="002E1052"/>
    <w:sectPr w:rsidR="002E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83"/>
    <w:rsid w:val="002E1052"/>
    <w:rsid w:val="004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3F21"/>
  <w15:chartTrackingRefBased/>
  <w15:docId w15:val="{D421D858-ADC1-41AC-B064-416BBC58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2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2025-07-23T02:36:00Z</dcterms:created>
  <dcterms:modified xsi:type="dcterms:W3CDTF">2025-07-23T02:38:00Z</dcterms:modified>
</cp:coreProperties>
</file>